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tabs>
          <w:tab w:val="right" w:pos="9639"/>
        </w:tabs>
        <w:spacing w:after="0"/>
        <w:rPr>
          <w:rFonts w:hint="default"/>
          <w:b/>
          <w:sz w:val="24"/>
          <w:highlight w:val="none"/>
          <w:lang w:val="en-US"/>
        </w:rPr>
      </w:pPr>
      <w:r>
        <w:rPr>
          <w:b/>
          <w:sz w:val="24"/>
          <w:highlight w:val="none"/>
        </w:rPr>
        <w:t>3GPP TSG RAN Meeting #</w:t>
      </w:r>
      <w:r>
        <w:rPr>
          <w:rFonts w:hint="default"/>
          <w:b/>
          <w:sz w:val="24"/>
          <w:highlight w:val="none"/>
          <w:lang w:val="en-US"/>
        </w:rPr>
        <w:t>100</w:t>
      </w:r>
      <w:r>
        <w:rPr>
          <w:b/>
          <w:sz w:val="24"/>
          <w:highlight w:val="none"/>
        </w:rPr>
        <w:tab/>
      </w:r>
      <w:bookmarkStart w:id="0" w:name="_GoBack"/>
      <w:r>
        <w:rPr>
          <w:rFonts w:hint="eastAsia"/>
          <w:b/>
          <w:sz w:val="24"/>
          <w:highlight w:val="none"/>
        </w:rPr>
        <w:t>RP-231148</w:t>
      </w:r>
      <w:bookmarkEnd w:id="0"/>
    </w:p>
    <w:p>
      <w:pPr>
        <w:pStyle w:val="138"/>
        <w:tabs>
          <w:tab w:val="right" w:pos="9639"/>
        </w:tabs>
        <w:spacing w:after="0"/>
        <w:rPr>
          <w:b/>
          <w:sz w:val="24"/>
          <w:highlight w:val="none"/>
        </w:rPr>
      </w:pPr>
      <w:r>
        <w:rPr>
          <w:rFonts w:hint="default"/>
          <w:b/>
          <w:sz w:val="24"/>
          <w:highlight w:val="none"/>
          <w:lang w:val="en-US"/>
        </w:rPr>
        <w:t>Taipei,</w:t>
      </w:r>
      <w:r>
        <w:rPr>
          <w:rFonts w:hint="eastAsia"/>
          <w:b/>
          <w:sz w:val="24"/>
          <w:highlight w:val="none"/>
        </w:rPr>
        <w:t xml:space="preserve"> </w:t>
      </w:r>
      <w:r>
        <w:rPr>
          <w:rFonts w:hint="default"/>
          <w:b/>
          <w:sz w:val="24"/>
          <w:highlight w:val="none"/>
          <w:lang w:val="en-US"/>
        </w:rPr>
        <w:t>Jun</w:t>
      </w:r>
      <w:r>
        <w:rPr>
          <w:rFonts w:hint="eastAsia"/>
          <w:b/>
          <w:sz w:val="24"/>
          <w:highlight w:val="none"/>
        </w:rPr>
        <w:t xml:space="preserve"> </w:t>
      </w:r>
      <w:r>
        <w:rPr>
          <w:rFonts w:hint="default"/>
          <w:b/>
          <w:sz w:val="24"/>
          <w:highlight w:val="none"/>
          <w:lang w:val="en-US"/>
        </w:rPr>
        <w:t>12</w:t>
      </w:r>
      <w:r>
        <w:rPr>
          <w:rFonts w:hint="eastAsia"/>
          <w:b/>
          <w:sz w:val="24"/>
          <w:highlight w:val="none"/>
        </w:rPr>
        <w:t xml:space="preserve"> - </w:t>
      </w:r>
      <w:r>
        <w:rPr>
          <w:rFonts w:hint="default"/>
          <w:b/>
          <w:sz w:val="24"/>
          <w:highlight w:val="none"/>
          <w:lang w:val="en-US"/>
        </w:rPr>
        <w:t>14</w:t>
      </w:r>
      <w:r>
        <w:rPr>
          <w:rFonts w:hint="eastAsia"/>
          <w:b/>
          <w:sz w:val="24"/>
          <w:highlight w:val="none"/>
        </w:rPr>
        <w:t>, 202</w:t>
      </w:r>
      <w:r>
        <w:rPr>
          <w:rFonts w:hint="default"/>
          <w:b/>
          <w:sz w:val="24"/>
          <w:highlight w:val="none"/>
          <w:lang w:val="en-US"/>
        </w:rPr>
        <w:t>3</w:t>
      </w:r>
      <w:r>
        <w:rPr>
          <w:b/>
          <w:sz w:val="24"/>
          <w:highlight w:val="none"/>
        </w:rPr>
        <w:tab/>
      </w:r>
    </w:p>
    <w:p>
      <w:pPr>
        <w:pStyle w:val="3"/>
        <w:jc w:val="center"/>
        <w:rPr>
          <w:highlight w:val="none"/>
          <w:u w:val="single"/>
        </w:rPr>
      </w:pPr>
      <w:r>
        <w:rPr>
          <w:highlight w:val="none"/>
          <w:u w:val="single"/>
        </w:rPr>
        <w:t>Status Report to TSG</w:t>
      </w:r>
    </w:p>
    <w:p>
      <w:pPr>
        <w:tabs>
          <w:tab w:val="left" w:pos="567"/>
        </w:tabs>
        <w:rPr>
          <w:rFonts w:ascii="Arial" w:hAnsi="Arial" w:cs="Arial"/>
          <w:highlight w:val="none"/>
          <w:lang w:eastAsia="ja-JP"/>
        </w:rPr>
      </w:pPr>
      <w:r>
        <w:rPr>
          <w:rFonts w:ascii="Arial" w:hAnsi="Arial" w:cs="Arial"/>
          <w:b/>
          <w:highlight w:val="none"/>
        </w:rPr>
        <w:t>Agenda item:</w:t>
      </w:r>
      <w:r>
        <w:rPr>
          <w:rFonts w:ascii="Arial" w:hAnsi="Arial" w:cs="Arial"/>
          <w:highlight w:val="none"/>
        </w:rPr>
        <w:tab/>
      </w:r>
      <w:r>
        <w:rPr>
          <w:rFonts w:ascii="Arial" w:hAnsi="Arial" w:cs="Arial"/>
          <w:highlight w:val="none"/>
        </w:rPr>
        <w:tab/>
      </w:r>
      <w:r>
        <w:rPr>
          <w:rFonts w:ascii="Arial" w:hAnsi="Arial" w:cs="Arial"/>
          <w:highlight w:val="none"/>
        </w:rPr>
        <w:tab/>
      </w:r>
      <w:r>
        <w:rPr>
          <w:rFonts w:hint="eastAsia" w:ascii="Arial" w:hAnsi="Arial" w:cs="Arial"/>
          <w:highlight w:val="none"/>
        </w:rPr>
        <w:t>13.2.1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highlight w:val="none"/>
              </w:rPr>
            </w:pPr>
            <w:r>
              <w:rPr>
                <w:rFonts w:ascii="Arial" w:hAnsi="Arial" w:cs="Arial"/>
                <w:b/>
                <w:highlight w:val="none"/>
              </w:rPr>
              <w:t>WI / SI Name</w:t>
            </w:r>
          </w:p>
        </w:tc>
        <w:tc>
          <w:tcPr>
            <w:tcW w:w="7650" w:type="dxa"/>
            <w:gridSpan w:val="5"/>
          </w:tcPr>
          <w:p>
            <w:pPr>
              <w:tabs>
                <w:tab w:val="left" w:pos="567"/>
              </w:tabs>
              <w:spacing w:after="0"/>
              <w:rPr>
                <w:rFonts w:ascii="Arial" w:hAnsi="Arial" w:cs="Arial"/>
                <w:highlight w:val="none"/>
              </w:rPr>
            </w:pPr>
            <w:r>
              <w:rPr>
                <w:rFonts w:ascii="Arial" w:hAnsi="Arial" w:cs="Arial"/>
                <w:highlight w:val="none"/>
                <w:lang w:eastAsia="ja-JP"/>
              </w:rPr>
              <w:t>UE Conformance Test Aspects - Rel-16 NR CA</w:t>
            </w:r>
            <w:r>
              <w:rPr>
                <w:rFonts w:hint="eastAsia" w:ascii="Arial" w:hAnsi="Arial" w:cs="Arial"/>
                <w:highlight w:val="none"/>
                <w:lang w:eastAsia="ja-JP"/>
              </w:rPr>
              <w:t xml:space="preserve"> and DC;</w:t>
            </w:r>
            <w:r>
              <w:rPr>
                <w:rFonts w:ascii="Arial" w:hAnsi="Arial" w:cs="Arial"/>
                <w:highlight w:val="none"/>
                <w:lang w:eastAsia="ja-JP"/>
              </w:rPr>
              <w:t xml:space="preserve"> </w:t>
            </w:r>
            <w:r>
              <w:rPr>
                <w:rFonts w:hint="eastAsia" w:ascii="Arial" w:hAnsi="Arial" w:cs="Arial"/>
                <w:highlight w:val="none"/>
                <w:lang w:eastAsia="ja-JP"/>
              </w:rPr>
              <w:t>and NR and LTE DC C</w:t>
            </w:r>
            <w:r>
              <w:rPr>
                <w:rFonts w:ascii="Arial" w:hAnsi="Arial" w:cs="Arial"/>
                <w:highlight w:val="none"/>
                <w:lang w:eastAsia="ja-JP"/>
              </w:rPr>
              <w:t>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highlight w:val="none"/>
              </w:rPr>
            </w:pPr>
            <w:r>
              <w:rPr>
                <w:rFonts w:ascii="Arial" w:hAnsi="Arial" w:cs="Arial"/>
                <w:bCs/>
                <w:highlight w:val="none"/>
              </w:rPr>
              <w:t>included in this status report</w:t>
            </w:r>
          </w:p>
        </w:tc>
        <w:tc>
          <w:tcPr>
            <w:tcW w:w="1846" w:type="dxa"/>
          </w:tcPr>
          <w:p>
            <w:pPr>
              <w:tabs>
                <w:tab w:val="left" w:pos="567"/>
              </w:tabs>
              <w:spacing w:after="0"/>
              <w:rPr>
                <w:rFonts w:ascii="Arial" w:hAnsi="Arial" w:cs="Arial"/>
                <w:highlight w:val="none"/>
                <w:lang w:eastAsia="ja-JP"/>
              </w:rPr>
            </w:pPr>
            <w:r>
              <w:rPr>
                <w:rFonts w:ascii="Arial" w:hAnsi="Arial" w:cs="Arial"/>
                <w:highlight w:val="none"/>
              </w:rPr>
              <w:t>Study Item:</w:t>
            </w:r>
            <w:r>
              <w:rPr>
                <w:rFonts w:hint="eastAsia" w:ascii="Arial" w:hAnsi="Arial" w:cs="Arial"/>
                <w:highlight w:val="none"/>
                <w:lang w:eastAsia="ja-JP"/>
              </w:rPr>
              <w:t xml:space="preserve"> </w:t>
            </w:r>
          </w:p>
          <w:p>
            <w:pPr>
              <w:tabs>
                <w:tab w:val="left" w:pos="567"/>
              </w:tabs>
              <w:spacing w:after="0"/>
              <w:rPr>
                <w:rFonts w:ascii="Arial" w:hAnsi="Arial" w:cs="Arial"/>
                <w:highlight w:val="none"/>
              </w:rPr>
            </w:pPr>
            <w:r>
              <w:rPr>
                <w:rFonts w:ascii="Arial" w:hAnsi="Arial" w:cs="Arial"/>
                <w:highlight w:val="none"/>
                <w:lang w:eastAsia="ja-JP"/>
              </w:rPr>
              <w:t>No</w:t>
            </w:r>
          </w:p>
        </w:tc>
        <w:tc>
          <w:tcPr>
            <w:tcW w:w="1842" w:type="dxa"/>
          </w:tcPr>
          <w:p>
            <w:pPr>
              <w:tabs>
                <w:tab w:val="left" w:pos="567"/>
              </w:tabs>
              <w:spacing w:after="0"/>
              <w:rPr>
                <w:rFonts w:ascii="Arial" w:hAnsi="Arial" w:cs="Arial"/>
                <w:highlight w:val="none"/>
                <w:lang w:eastAsia="ja-JP"/>
              </w:rPr>
            </w:pPr>
            <w:r>
              <w:rPr>
                <w:rFonts w:ascii="Arial" w:hAnsi="Arial" w:cs="Arial"/>
                <w:highlight w:val="none"/>
              </w:rPr>
              <w:t>Core part:</w:t>
            </w:r>
            <w:r>
              <w:rPr>
                <w:rFonts w:ascii="Arial" w:hAnsi="Arial" w:cs="Arial"/>
                <w:highlight w:val="none"/>
                <w:lang w:eastAsia="ja-JP"/>
              </w:rPr>
              <w:t xml:space="preserve"> </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2309" w:type="dxa"/>
            <w:gridSpan w:val="2"/>
          </w:tcPr>
          <w:p>
            <w:pPr>
              <w:tabs>
                <w:tab w:val="left" w:pos="567"/>
              </w:tabs>
              <w:spacing w:after="0"/>
              <w:rPr>
                <w:rFonts w:ascii="Arial" w:hAnsi="Arial" w:cs="Arial"/>
                <w:highlight w:val="none"/>
              </w:rPr>
            </w:pPr>
            <w:r>
              <w:rPr>
                <w:rFonts w:ascii="Arial" w:hAnsi="Arial" w:cs="Arial"/>
                <w:highlight w:val="none"/>
              </w:rPr>
              <w:t>Performance part:</w:t>
            </w:r>
          </w:p>
          <w:p>
            <w:pPr>
              <w:tabs>
                <w:tab w:val="left" w:pos="567"/>
              </w:tabs>
              <w:spacing w:after="0"/>
              <w:rPr>
                <w:rFonts w:ascii="Arial" w:hAnsi="Arial" w:cs="Arial"/>
                <w:highlight w:val="none"/>
                <w:lang w:eastAsia="ja-JP"/>
              </w:rPr>
            </w:pPr>
            <w:r>
              <w:rPr>
                <w:rFonts w:ascii="Arial" w:hAnsi="Arial" w:cs="Arial"/>
                <w:highlight w:val="none"/>
                <w:lang w:eastAsia="ja-JP"/>
              </w:rPr>
              <w:t>No</w:t>
            </w:r>
          </w:p>
        </w:tc>
        <w:tc>
          <w:tcPr>
            <w:tcW w:w="1653" w:type="dxa"/>
          </w:tcPr>
          <w:p>
            <w:pPr>
              <w:tabs>
                <w:tab w:val="left" w:pos="567"/>
              </w:tabs>
              <w:spacing w:after="0"/>
              <w:rPr>
                <w:rFonts w:ascii="Arial" w:hAnsi="Arial" w:cs="Arial"/>
                <w:highlight w:val="none"/>
              </w:rPr>
            </w:pPr>
            <w:r>
              <w:rPr>
                <w:rFonts w:ascii="Arial" w:hAnsi="Arial" w:cs="Arial"/>
                <w:highlight w:val="none"/>
              </w:rPr>
              <w:t>Testing part:</w:t>
            </w:r>
          </w:p>
          <w:p>
            <w:pPr>
              <w:tabs>
                <w:tab w:val="left" w:pos="567"/>
              </w:tabs>
              <w:spacing w:after="0"/>
              <w:rPr>
                <w:rFonts w:ascii="Arial" w:hAnsi="Arial" w:cs="Arial"/>
                <w:highlight w:val="none"/>
                <w:lang w:eastAsia="ja-JP"/>
              </w:rPr>
            </w:pPr>
            <w:r>
              <w:rPr>
                <w:rFonts w:ascii="Arial" w:hAnsi="Arial" w:cs="Arial"/>
                <w:highlight w:val="none"/>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Acronym</w:t>
            </w:r>
          </w:p>
        </w:tc>
        <w:tc>
          <w:tcPr>
            <w:tcW w:w="7650" w:type="dxa"/>
            <w:gridSpan w:val="5"/>
          </w:tcPr>
          <w:p>
            <w:pPr>
              <w:tabs>
                <w:tab w:val="left" w:pos="567"/>
              </w:tabs>
              <w:spacing w:after="0"/>
              <w:rPr>
                <w:rFonts w:ascii="Arial" w:hAnsi="Arial" w:cs="Arial"/>
                <w:highlight w:val="none"/>
              </w:rPr>
            </w:pPr>
            <w:r>
              <w:rPr>
                <w:rFonts w:ascii="Arial" w:hAnsi="Arial" w:cs="Arial"/>
                <w:highlight w:val="none"/>
              </w:rPr>
              <w:t>NR_CA</w:t>
            </w:r>
            <w:r>
              <w:rPr>
                <w:rFonts w:hint="eastAsia" w:ascii="Arial" w:hAnsi="Arial" w:cs="Arial"/>
                <w:highlight w:val="none"/>
              </w:rPr>
              <w:t>DC_NR_LTE_DC</w:t>
            </w:r>
            <w:r>
              <w:rPr>
                <w:rFonts w:ascii="Arial" w:hAnsi="Arial" w:cs="Arial"/>
                <w:highlight w:val="none"/>
              </w:rPr>
              <w:t>_R16-UEConTest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Unique ID</w:t>
            </w:r>
          </w:p>
        </w:tc>
        <w:tc>
          <w:tcPr>
            <w:tcW w:w="7650" w:type="dxa"/>
            <w:gridSpan w:val="5"/>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8</w:t>
            </w:r>
            <w:r>
              <w:rPr>
                <w:rFonts w:hint="eastAsia" w:ascii="Arial" w:hAnsi="Arial" w:cs="Arial" w:eastAsiaTheme="minorEastAsia"/>
                <w:highlight w:val="none"/>
              </w:rPr>
              <w:t>3</w:t>
            </w:r>
            <w:r>
              <w:rPr>
                <w:rFonts w:ascii="Arial" w:hAnsi="Arial" w:cs="Arial"/>
                <w:highlight w:val="none"/>
              </w:rPr>
              <w:t>00</w:t>
            </w:r>
            <w:r>
              <w:rPr>
                <w:rFonts w:hint="eastAsia" w:ascii="Arial" w:hAnsi="Arial" w:cs="Arial" w:eastAsiaTheme="minorEastAsia"/>
                <w:highlight w:val="none"/>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TSG Tdoc of latest approved WI/SI description (if any)</w:t>
            </w:r>
          </w:p>
        </w:tc>
        <w:tc>
          <w:tcPr>
            <w:tcW w:w="7650" w:type="dxa"/>
            <w:gridSpan w:val="5"/>
          </w:tcPr>
          <w:p>
            <w:pPr>
              <w:tabs>
                <w:tab w:val="left" w:pos="567"/>
              </w:tabs>
              <w:spacing w:after="0"/>
              <w:rPr>
                <w:rFonts w:ascii="Arial" w:hAnsi="Arial" w:cs="Arial"/>
                <w:highlight w:val="none"/>
                <w:lang w:eastAsia="ja-JP"/>
              </w:rPr>
            </w:pPr>
            <w:r>
              <w:rPr>
                <w:highlight w:val="none"/>
              </w:rPr>
              <w:fldChar w:fldCharType="begin"/>
            </w:r>
            <w:r>
              <w:rPr>
                <w:highlight w:val="none"/>
              </w:rPr>
              <w:instrText xml:space="preserve"> HYPERLINK "http://www.3gpp.org/ftp/tsg_ran/TSG_RAN/TSGR_83/Docs/RP-190321.zip" </w:instrText>
            </w:r>
            <w:r>
              <w:rPr>
                <w:highlight w:val="none"/>
              </w:rPr>
              <w:fldChar w:fldCharType="separate"/>
            </w:r>
            <w:r>
              <w:rPr>
                <w:rStyle w:val="57"/>
                <w:rFonts w:ascii="Arial" w:hAnsi="Arial" w:cs="Arial"/>
                <w:highlight w:val="none"/>
              </w:rPr>
              <w:t>RP-</w:t>
            </w:r>
            <w:r>
              <w:rPr>
                <w:rStyle w:val="57"/>
                <w:rFonts w:hint="eastAsia" w:ascii="Arial" w:hAnsi="Arial" w:cs="Arial"/>
                <w:highlight w:val="none"/>
              </w:rPr>
              <w:t>19</w:t>
            </w:r>
            <w:r>
              <w:rPr>
                <w:rStyle w:val="57"/>
                <w:rFonts w:hint="eastAsia" w:ascii="Arial" w:hAnsi="Arial" w:cs="Arial" w:eastAsiaTheme="minorEastAsia"/>
                <w:highlight w:val="none"/>
              </w:rPr>
              <w:t>032</w:t>
            </w:r>
            <w:r>
              <w:rPr>
                <w:rStyle w:val="57"/>
                <w:rFonts w:ascii="Arial" w:hAnsi="Arial" w:cs="Arial"/>
                <w:highlight w:val="none"/>
              </w:rPr>
              <w:t>1</w:t>
            </w:r>
            <w:r>
              <w:rPr>
                <w:rStyle w:val="57"/>
                <w:rFonts w:ascii="Arial" w:hAnsi="Arial" w:cs="Arial"/>
                <w:highlight w:val="non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Target Completion Date</w:t>
            </w:r>
          </w:p>
          <w:p>
            <w:pPr>
              <w:tabs>
                <w:tab w:val="left" w:pos="567"/>
              </w:tabs>
              <w:spacing w:after="0"/>
              <w:rPr>
                <w:rFonts w:ascii="Arial" w:hAnsi="Arial" w:cs="Arial"/>
                <w:b/>
                <w:highlight w:val="none"/>
              </w:rPr>
            </w:pPr>
            <w:r>
              <w:rPr>
                <w:rFonts w:ascii="Arial" w:hAnsi="Arial" w:cs="Arial"/>
                <w:b/>
                <w:highlight w:val="none"/>
              </w:rPr>
              <w:t>(indicate if changed)</w:t>
            </w:r>
          </w:p>
        </w:tc>
        <w:tc>
          <w:tcPr>
            <w:tcW w:w="1846" w:type="dxa"/>
          </w:tcPr>
          <w:p>
            <w:pPr>
              <w:tabs>
                <w:tab w:val="left" w:pos="567"/>
              </w:tabs>
              <w:spacing w:after="0"/>
              <w:rPr>
                <w:rFonts w:ascii="Arial" w:hAnsi="Arial" w:cs="Arial"/>
                <w:highlight w:val="none"/>
                <w:lang w:eastAsia="ja-JP"/>
              </w:rPr>
            </w:pPr>
            <w:r>
              <w:rPr>
                <w:rFonts w:ascii="Arial" w:hAnsi="Arial" w:cs="Arial"/>
                <w:highlight w:val="none"/>
                <w:lang w:eastAsia="ja-JP"/>
              </w:rPr>
              <w:t>Study Item: 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hint="default" w:ascii="Arial" w:hAnsi="Arial" w:cs="Arial" w:eastAsiaTheme="minorEastAsia"/>
                <w:highlight w:val="none"/>
                <w:lang w:val="en-US"/>
              </w:rPr>
            </w:pPr>
            <w:r>
              <w:rPr>
                <w:rFonts w:ascii="Arial" w:hAnsi="Arial" w:cs="Arial"/>
                <w:highlight w:val="none"/>
                <w:lang w:eastAsia="ja-JP"/>
              </w:rPr>
              <w:t xml:space="preserve">Testing part: </w:t>
            </w:r>
            <w:r>
              <w:rPr>
                <w:rFonts w:hint="default" w:ascii="Arial" w:hAnsi="Arial" w:cs="Arial" w:eastAsiaTheme="minorEastAsia"/>
                <w:color w:val="FF9900"/>
                <w:highlight w:val="none"/>
                <w:lang w:val="en-US" w:eastAsia="zh-CN"/>
              </w:rPr>
              <w:t>Dec</w:t>
            </w:r>
            <w:r>
              <w:rPr>
                <w:rFonts w:hint="eastAsia" w:ascii="Arial" w:hAnsi="Arial" w:cs="Arial" w:eastAsiaTheme="minorEastAsia"/>
                <w:color w:val="FF9900"/>
                <w:highlight w:val="none"/>
                <w:lang w:val="en-US" w:eastAsia="zh-CN"/>
              </w:rPr>
              <w:t>.</w:t>
            </w:r>
            <w:r>
              <w:rPr>
                <w:rFonts w:hint="eastAsia" w:ascii="Arial" w:hAnsi="Arial" w:cs="Arial" w:eastAsiaTheme="minorEastAsia"/>
                <w:color w:val="FF9900"/>
                <w:highlight w:val="none"/>
              </w:rPr>
              <w:t xml:space="preserve"> </w:t>
            </w:r>
            <w:r>
              <w:rPr>
                <w:rFonts w:hint="eastAsia" w:ascii="Arial" w:hAnsi="Arial" w:cs="Arial" w:eastAsiaTheme="minorEastAsia"/>
                <w:color w:val="FF9900"/>
                <w:highlight w:val="none"/>
                <w:lang w:eastAsia="ja-JP"/>
              </w:rPr>
              <w:t>2</w:t>
            </w:r>
            <w:r>
              <w:rPr>
                <w:rFonts w:ascii="Arial" w:hAnsi="Arial" w:cs="Arial"/>
                <w:color w:val="FF9900"/>
                <w:highlight w:val="none"/>
                <w:lang w:eastAsia="ja-JP"/>
              </w:rPr>
              <w:t>0</w:t>
            </w:r>
            <w:r>
              <w:rPr>
                <w:rFonts w:hint="eastAsia" w:ascii="Arial" w:hAnsi="Arial" w:cs="Arial" w:eastAsiaTheme="minorEastAsia"/>
                <w:color w:val="FF9900"/>
                <w:highlight w:val="none"/>
              </w:rPr>
              <w:t>2</w:t>
            </w:r>
            <w:r>
              <w:rPr>
                <w:rFonts w:hint="eastAsia" w:ascii="Arial" w:hAnsi="Arial" w:cs="Arial" w:eastAsiaTheme="minorEastAsia"/>
                <w:color w:val="FF9900"/>
                <w:highlight w:val="none"/>
                <w:lang w:val="en-US" w:eastAsia="zh-CN"/>
              </w:rPr>
              <w:t>3</w:t>
            </w:r>
            <w:r>
              <w:rPr>
                <w:rFonts w:hint="default" w:ascii="Arial" w:hAnsi="Arial" w:cs="Arial" w:eastAsiaTheme="minorEastAsia"/>
                <w:color w:val="FF9900"/>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highlight w:val="none"/>
              </w:rPr>
            </w:pPr>
            <w:r>
              <w:rPr>
                <w:rFonts w:ascii="Arial" w:hAnsi="Arial" w:cs="Arial"/>
                <w:b/>
                <w:highlight w:val="none"/>
              </w:rPr>
              <w:t>Overall Completion level</w:t>
            </w:r>
          </w:p>
        </w:tc>
        <w:tc>
          <w:tcPr>
            <w:tcW w:w="1846" w:type="dxa"/>
          </w:tcPr>
          <w:p>
            <w:pPr>
              <w:tabs>
                <w:tab w:val="left" w:pos="567"/>
              </w:tabs>
              <w:spacing w:after="0"/>
              <w:rPr>
                <w:rFonts w:ascii="Arial" w:hAnsi="Arial" w:cs="Arial"/>
                <w:highlight w:val="none"/>
                <w:lang w:eastAsia="ja-JP"/>
              </w:rPr>
            </w:pPr>
            <w:r>
              <w:rPr>
                <w:rFonts w:ascii="Arial" w:hAnsi="Arial" w:cs="Arial"/>
                <w:color w:val="000000" w:themeColor="text1"/>
                <w:highlight w:val="none"/>
                <w:lang w:eastAsia="ja-JP"/>
                <w14:textFill>
                  <w14:solidFill>
                    <w14:schemeClr w14:val="tx1"/>
                  </w14:solidFill>
                </w14:textFill>
              </w:rPr>
              <w:t xml:space="preserve">Study Item: </w:t>
            </w:r>
            <w:r>
              <w:rPr>
                <w:rFonts w:ascii="Arial" w:hAnsi="Arial" w:cs="Arial"/>
                <w:highlight w:val="none"/>
                <w:lang w:eastAsia="ja-JP"/>
              </w:rPr>
              <w:t>N/A</w:t>
            </w:r>
          </w:p>
        </w:tc>
        <w:tc>
          <w:tcPr>
            <w:tcW w:w="1842" w:type="dxa"/>
          </w:tcPr>
          <w:p>
            <w:pPr>
              <w:tabs>
                <w:tab w:val="left" w:pos="567"/>
              </w:tabs>
              <w:spacing w:after="0"/>
              <w:rPr>
                <w:rFonts w:ascii="Arial" w:hAnsi="Arial" w:cs="Arial"/>
                <w:highlight w:val="none"/>
                <w:lang w:eastAsia="ja-JP"/>
              </w:rPr>
            </w:pPr>
            <w:r>
              <w:rPr>
                <w:rFonts w:ascii="Arial" w:hAnsi="Arial" w:cs="Arial"/>
                <w:highlight w:val="none"/>
                <w:lang w:eastAsia="ja-JP"/>
              </w:rPr>
              <w:t>Core part: N/A</w:t>
            </w:r>
          </w:p>
        </w:tc>
        <w:tc>
          <w:tcPr>
            <w:tcW w:w="2268" w:type="dxa"/>
          </w:tcPr>
          <w:p>
            <w:pPr>
              <w:tabs>
                <w:tab w:val="left" w:pos="567"/>
              </w:tabs>
              <w:spacing w:after="0"/>
              <w:rPr>
                <w:rFonts w:ascii="Arial" w:hAnsi="Arial" w:cs="Arial"/>
                <w:highlight w:val="none"/>
                <w:lang w:eastAsia="ja-JP"/>
              </w:rPr>
            </w:pPr>
            <w:r>
              <w:rPr>
                <w:rFonts w:ascii="Arial" w:hAnsi="Arial" w:cs="Arial"/>
                <w:highlight w:val="none"/>
                <w:lang w:eastAsia="ja-JP"/>
              </w:rPr>
              <w:t>Performance Part: N/A</w:t>
            </w:r>
          </w:p>
        </w:tc>
        <w:tc>
          <w:tcPr>
            <w:tcW w:w="1694" w:type="dxa"/>
            <w:gridSpan w:val="2"/>
          </w:tcPr>
          <w:p>
            <w:pPr>
              <w:tabs>
                <w:tab w:val="left" w:pos="567"/>
              </w:tabs>
              <w:spacing w:after="0"/>
              <w:rPr>
                <w:rFonts w:ascii="Arial" w:hAnsi="Arial" w:cs="Arial" w:eastAsiaTheme="minorEastAsia"/>
                <w:highlight w:val="none"/>
              </w:rPr>
            </w:pPr>
            <w:r>
              <w:rPr>
                <w:rFonts w:ascii="Arial" w:hAnsi="Arial" w:cs="Arial"/>
                <w:highlight w:val="none"/>
                <w:lang w:eastAsia="ja-JP"/>
              </w:rPr>
              <w:t xml:space="preserve">Testing part: </w:t>
            </w:r>
          </w:p>
          <w:p>
            <w:pPr>
              <w:tabs>
                <w:tab w:val="left" w:pos="567"/>
              </w:tabs>
              <w:spacing w:after="0"/>
              <w:rPr>
                <w:rFonts w:ascii="Arial" w:hAnsi="Arial" w:cs="Arial"/>
                <w:highlight w:val="none"/>
                <w:lang w:eastAsia="ja-JP"/>
              </w:rPr>
            </w:pPr>
            <w:r>
              <w:rPr>
                <w:rFonts w:hint="default" w:ascii="Arial" w:hAnsi="Arial" w:cs="Arial" w:eastAsiaTheme="minorEastAsia"/>
                <w:color w:val="FF9900"/>
                <w:highlight w:val="none"/>
                <w:lang w:val="en-US"/>
              </w:rPr>
              <w:t>42</w:t>
            </w:r>
            <w:r>
              <w:rPr>
                <w:rFonts w:ascii="Arial" w:hAnsi="Arial" w:cs="Arial"/>
                <w:color w:val="FF9900"/>
                <w:highlight w:val="none"/>
                <w:lang w:eastAsia="ja-JP"/>
              </w:rPr>
              <w:t>%</w:t>
            </w:r>
          </w:p>
        </w:tc>
      </w:tr>
    </w:tbl>
    <w:p>
      <w:pPr>
        <w:tabs>
          <w:tab w:val="left" w:pos="567"/>
        </w:tabs>
        <w:spacing w:after="0"/>
        <w:rPr>
          <w:rFonts w:ascii="Arial" w:hAnsi="Arial" w:cs="Arial"/>
          <w:highlight w:val="none"/>
        </w:rPr>
      </w:pPr>
      <w:r>
        <w:rPr>
          <w:rFonts w:ascii="Arial" w:hAnsi="Arial" w:cs="Arial"/>
          <w:highlight w:val="none"/>
        </w:rPr>
        <w:t>Note: Overall completion level percentage numbers should use one of the colors below:</w:t>
      </w:r>
    </w:p>
    <w:p>
      <w:pPr>
        <w:pStyle w:val="131"/>
        <w:numPr>
          <w:ilvl w:val="0"/>
          <w:numId w:val="4"/>
        </w:numPr>
        <w:tabs>
          <w:tab w:val="left" w:pos="567"/>
        </w:tabs>
        <w:ind w:leftChars="0"/>
        <w:rPr>
          <w:rFonts w:ascii="Arial" w:hAnsi="Arial" w:cs="Arial"/>
          <w:color w:val="00B050"/>
          <w:highlight w:val="none"/>
        </w:rPr>
      </w:pPr>
      <w:r>
        <w:rPr>
          <w:rFonts w:ascii="Arial" w:hAnsi="Arial" w:cs="Arial"/>
          <w:color w:val="00B050"/>
          <w:highlight w:val="none"/>
        </w:rPr>
        <w:t>xx%</w:t>
      </w:r>
      <w:r>
        <w:rPr>
          <w:rFonts w:ascii="Arial" w:hAnsi="Arial" w:cs="Arial"/>
          <w:highlight w:val="none"/>
        </w:rPr>
        <w:t xml:space="preserve">: </w:t>
      </w:r>
      <w:r>
        <w:rPr>
          <w:rFonts w:ascii="Arial" w:hAnsi="Arial" w:cs="Arial"/>
          <w:color w:val="00B050"/>
          <w:highlight w:val="none"/>
        </w:rPr>
        <w:t>Normal progress, no RAN plenary action needed</w:t>
      </w:r>
    </w:p>
    <w:p>
      <w:pPr>
        <w:pStyle w:val="131"/>
        <w:numPr>
          <w:ilvl w:val="0"/>
          <w:numId w:val="4"/>
        </w:numPr>
        <w:tabs>
          <w:tab w:val="left" w:pos="567"/>
        </w:tabs>
        <w:ind w:leftChars="0"/>
        <w:rPr>
          <w:rFonts w:ascii="Arial" w:hAnsi="Arial" w:cs="Arial"/>
          <w:color w:val="FF9201"/>
          <w:highlight w:val="none"/>
        </w:rPr>
      </w:pPr>
      <w:r>
        <w:rPr>
          <w:rFonts w:ascii="Arial" w:hAnsi="Arial" w:cs="Arial"/>
          <w:color w:val="FF9201"/>
          <w:highlight w:val="none"/>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highlight w:val="none"/>
        </w:rPr>
      </w:pPr>
      <w:r>
        <w:rPr>
          <w:rFonts w:ascii="Arial" w:hAnsi="Arial" w:cs="Arial"/>
          <w:color w:val="FF0000"/>
          <w:highlight w:val="none"/>
        </w:rPr>
        <w:t>xx%: Progress critically behind, RAN plenary shall intervene. SR should define requested action</w:t>
      </w:r>
    </w:p>
    <w:p>
      <w:pPr>
        <w:pStyle w:val="131"/>
        <w:tabs>
          <w:tab w:val="left" w:pos="567"/>
        </w:tabs>
        <w:ind w:left="924" w:leftChars="0"/>
        <w:rPr>
          <w:rFonts w:ascii="Arial" w:hAnsi="Arial" w:cs="Arial"/>
          <w:color w:val="FF0000"/>
          <w:highlight w:val="none"/>
        </w:rPr>
      </w:pPr>
    </w:p>
    <w:p>
      <w:pPr>
        <w:tabs>
          <w:tab w:val="left" w:pos="567"/>
        </w:tabs>
        <w:spacing w:after="60"/>
        <w:rPr>
          <w:rFonts w:ascii="Arial" w:hAnsi="Arial" w:cs="Arial"/>
          <w:b/>
          <w:highlight w:val="none"/>
        </w:rPr>
      </w:pPr>
      <w:r>
        <w:rPr>
          <w:rFonts w:ascii="Arial" w:hAnsi="Arial" w:cs="Arial"/>
          <w:b/>
          <w:highlight w:val="none"/>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1"/>
        <w:gridCol w:w="1278"/>
        <w:gridCol w:w="6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9" w:type="dxa"/>
            <w:gridSpan w:val="2"/>
          </w:tcPr>
          <w:p>
            <w:pPr>
              <w:tabs>
                <w:tab w:val="left" w:pos="567"/>
              </w:tabs>
              <w:spacing w:after="0"/>
              <w:rPr>
                <w:rFonts w:ascii="Arial" w:hAnsi="Arial" w:cs="Arial"/>
                <w:b/>
                <w:highlight w:val="none"/>
              </w:rPr>
            </w:pPr>
            <w:r>
              <w:rPr>
                <w:rFonts w:ascii="Arial" w:hAnsi="Arial" w:cs="Arial"/>
                <w:b/>
                <w:highlight w:val="none"/>
              </w:rPr>
              <w:t>Leading WG</w:t>
            </w:r>
          </w:p>
        </w:tc>
        <w:tc>
          <w:tcPr>
            <w:tcW w:w="6089" w:type="dxa"/>
          </w:tcPr>
          <w:p>
            <w:pPr>
              <w:tabs>
                <w:tab w:val="left" w:pos="567"/>
              </w:tabs>
              <w:spacing w:after="0"/>
              <w:rPr>
                <w:rFonts w:ascii="Arial" w:hAnsi="Arial" w:cs="Arial"/>
                <w:highlight w:val="none"/>
              </w:rPr>
            </w:pPr>
            <w:r>
              <w:rPr>
                <w:rFonts w:ascii="Arial" w:hAnsi="Arial" w:cs="Arial"/>
                <w:highlight w:val="none"/>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restart"/>
            <w:vAlign w:val="center"/>
          </w:tcPr>
          <w:p>
            <w:pPr>
              <w:tabs>
                <w:tab w:val="left" w:pos="567"/>
              </w:tabs>
              <w:rPr>
                <w:rFonts w:ascii="Arial" w:hAnsi="Arial" w:cs="Arial"/>
                <w:b/>
                <w:highlight w:val="none"/>
              </w:rPr>
            </w:pPr>
            <w:r>
              <w:rPr>
                <w:rFonts w:ascii="Arial" w:hAnsi="Arial" w:cs="Arial"/>
                <w:b/>
                <w:highlight w:val="none"/>
              </w:rPr>
              <w:t>Rapporteur</w:t>
            </w:r>
          </w:p>
        </w:tc>
        <w:tc>
          <w:tcPr>
            <w:tcW w:w="1278" w:type="dxa"/>
          </w:tcPr>
          <w:p>
            <w:pPr>
              <w:tabs>
                <w:tab w:val="left" w:pos="567"/>
              </w:tabs>
              <w:spacing w:after="0"/>
              <w:rPr>
                <w:rFonts w:ascii="Arial" w:hAnsi="Arial" w:cs="Arial"/>
                <w:b/>
                <w:highlight w:val="none"/>
              </w:rPr>
            </w:pPr>
            <w:r>
              <w:rPr>
                <w:rFonts w:ascii="Arial" w:hAnsi="Arial" w:cs="Arial"/>
                <w:b/>
                <w:highlight w:val="none"/>
              </w:rPr>
              <w:t>Name</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Dan S</w:t>
            </w:r>
            <w:r>
              <w:rPr>
                <w:rFonts w:ascii="Arial" w:hAnsi="Arial" w:cs="Arial"/>
                <w:highlight w:val="none"/>
              </w:rPr>
              <w:t>ONG</w:t>
            </w:r>
            <w:r>
              <w:rPr>
                <w:rFonts w:hint="eastAsia" w:ascii="Arial" w:hAnsi="Arial" w:cs="Arial" w:eastAsiaTheme="minorEastAsia"/>
                <w:highlight w:val="none"/>
              </w:rPr>
              <w:t xml:space="preserve">, </w:t>
            </w:r>
            <w:r>
              <w:rPr>
                <w:rFonts w:ascii="Arial" w:hAnsi="Arial" w:cs="Arial"/>
                <w:highlight w:val="none"/>
              </w:rPr>
              <w:t>Leif</w:t>
            </w:r>
            <w:r>
              <w:rPr>
                <w:rFonts w:hint="eastAsia" w:ascii="Arial" w:hAnsi="Arial" w:cs="Arial" w:eastAsiaTheme="minorEastAsia"/>
                <w:highlight w:val="none"/>
              </w:rPr>
              <w:t xml:space="preserve"> </w:t>
            </w:r>
            <w:r>
              <w:rPr>
                <w:rFonts w:ascii="Arial" w:hAnsi="Arial" w:cs="Arial"/>
                <w:highlight w:val="none"/>
              </w:rPr>
              <w:t>Mattisson</w:t>
            </w:r>
            <w:r>
              <w:rPr>
                <w:rFonts w:hint="eastAsia" w:ascii="Arial" w:hAnsi="Arial" w:cs="Arial" w:eastAsiaTheme="minorEastAsia"/>
                <w:highlight w:val="none"/>
              </w:rPr>
              <w:t>, 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Company</w:t>
            </w:r>
          </w:p>
        </w:tc>
        <w:tc>
          <w:tcPr>
            <w:tcW w:w="6089" w:type="dxa"/>
          </w:tcPr>
          <w:p>
            <w:pPr>
              <w:tabs>
                <w:tab w:val="left" w:pos="567"/>
              </w:tabs>
              <w:spacing w:after="0"/>
              <w:rPr>
                <w:rFonts w:ascii="Arial" w:hAnsi="Arial" w:cs="Arial" w:eastAsiaTheme="minorEastAsia"/>
                <w:highlight w:val="none"/>
                <w:lang w:eastAsia="ja-JP"/>
              </w:rPr>
            </w:pPr>
            <w:r>
              <w:rPr>
                <w:rFonts w:hint="eastAsia" w:ascii="Arial" w:hAnsi="Arial" w:cs="Arial"/>
                <w:highlight w:val="none"/>
              </w:rPr>
              <w:t>CMCC</w:t>
            </w:r>
            <w:r>
              <w:rPr>
                <w:rFonts w:hint="eastAsia" w:ascii="Arial" w:hAnsi="Arial" w:cs="Arial" w:eastAsiaTheme="minorEastAsia"/>
                <w:highlight w:val="none"/>
              </w:rPr>
              <w:t>, Ericsson, 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1" w:type="dxa"/>
            <w:vMerge w:val="continue"/>
          </w:tcPr>
          <w:p>
            <w:pPr>
              <w:tabs>
                <w:tab w:val="left" w:pos="567"/>
              </w:tabs>
              <w:rPr>
                <w:rFonts w:ascii="Arial" w:hAnsi="Arial" w:cs="Arial"/>
                <w:b/>
                <w:highlight w:val="none"/>
              </w:rPr>
            </w:pPr>
          </w:p>
        </w:tc>
        <w:tc>
          <w:tcPr>
            <w:tcW w:w="1278" w:type="dxa"/>
          </w:tcPr>
          <w:p>
            <w:pPr>
              <w:tabs>
                <w:tab w:val="left" w:pos="567"/>
              </w:tabs>
              <w:spacing w:after="0"/>
              <w:rPr>
                <w:rFonts w:ascii="Arial" w:hAnsi="Arial" w:cs="Arial"/>
                <w:b/>
                <w:highlight w:val="none"/>
              </w:rPr>
            </w:pPr>
            <w:r>
              <w:rPr>
                <w:rFonts w:ascii="Arial" w:hAnsi="Arial" w:cs="Arial"/>
                <w:b/>
                <w:highlight w:val="none"/>
              </w:rPr>
              <w:t>Email</w:t>
            </w:r>
          </w:p>
        </w:tc>
        <w:tc>
          <w:tcPr>
            <w:tcW w:w="6089" w:type="dxa"/>
          </w:tcPr>
          <w:p>
            <w:pPr>
              <w:tabs>
                <w:tab w:val="left" w:pos="567"/>
              </w:tabs>
              <w:spacing w:after="0"/>
              <w:rPr>
                <w:rFonts w:ascii="Arial" w:hAnsi="Arial" w:cs="Arial" w:eastAsiaTheme="minorEastAsia"/>
                <w:highlight w:val="none"/>
              </w:rPr>
            </w:pPr>
            <w:r>
              <w:rPr>
                <w:highlight w:val="none"/>
              </w:rPr>
              <w:fldChar w:fldCharType="begin"/>
            </w:r>
            <w:r>
              <w:rPr>
                <w:highlight w:val="none"/>
              </w:rPr>
              <w:instrText xml:space="preserve"> HYPERLINK "mailto:songdan@chinamobile.com" </w:instrText>
            </w:r>
            <w:r>
              <w:rPr>
                <w:highlight w:val="none"/>
              </w:rPr>
              <w:fldChar w:fldCharType="separate"/>
            </w:r>
            <w:r>
              <w:rPr>
                <w:rStyle w:val="57"/>
                <w:rFonts w:hint="eastAsia" w:ascii="Arial" w:hAnsi="Arial" w:cs="Arial"/>
                <w:highlight w:val="none"/>
              </w:rPr>
              <w:t>songdan@chinamobile.com</w:t>
            </w:r>
            <w:r>
              <w:rPr>
                <w:rStyle w:val="57"/>
                <w:rFonts w:hint="eastAsia" w:ascii="Arial" w:hAnsi="Arial" w:cs="Arial"/>
                <w:highlight w:val="none"/>
              </w:rPr>
              <w:fldChar w:fldCharType="end"/>
            </w:r>
            <w:r>
              <w:rPr>
                <w:rFonts w:hint="eastAsia" w:ascii="Arial" w:hAnsi="Arial" w:cs="Arial" w:eastAsiaTheme="minorEastAsia"/>
                <w:highlight w:val="none"/>
              </w:rPr>
              <w:t xml:space="preserve">, </w:t>
            </w:r>
            <w:r>
              <w:rPr>
                <w:highlight w:val="none"/>
              </w:rPr>
              <w:fldChar w:fldCharType="begin"/>
            </w:r>
            <w:r>
              <w:rPr>
                <w:highlight w:val="none"/>
              </w:rPr>
              <w:instrText xml:space="preserve"> HYPERLINK "mailto:leif.mattisson@ericsson.com" </w:instrText>
            </w:r>
            <w:r>
              <w:rPr>
                <w:highlight w:val="none"/>
              </w:rPr>
              <w:fldChar w:fldCharType="separate"/>
            </w:r>
            <w:r>
              <w:rPr>
                <w:rStyle w:val="57"/>
                <w:rFonts w:ascii="Arial" w:hAnsi="Arial" w:cs="Arial"/>
                <w:highlight w:val="none"/>
              </w:rPr>
              <w:t>leif.mattisson@ericsson.com</w:t>
            </w:r>
            <w:r>
              <w:rPr>
                <w:rStyle w:val="57"/>
                <w:rFonts w:ascii="Arial" w:hAnsi="Arial" w:cs="Arial"/>
                <w:highlight w:val="none"/>
              </w:rPr>
              <w:fldChar w:fldCharType="end"/>
            </w:r>
            <w:r>
              <w:rPr>
                <w:rFonts w:hint="eastAsia" w:ascii="Arial" w:hAnsi="Arial" w:cs="Arial" w:eastAsiaTheme="minorEastAsia"/>
                <w:highlight w:val="none"/>
              </w:rPr>
              <w:t xml:space="preserve">, </w:t>
            </w:r>
            <w:r>
              <w:rPr>
                <w:rStyle w:val="57"/>
                <w:rFonts w:ascii="Arial" w:hAnsi="Arial" w:cs="Arial"/>
                <w:highlight w:val="none"/>
              </w:rPr>
              <w:t>shiyu19@chinaunicom.cn</w:t>
            </w:r>
          </w:p>
        </w:tc>
      </w:tr>
    </w:tbl>
    <w:p>
      <w:pPr>
        <w:pBdr>
          <w:bottom w:val="single" w:color="auto" w:sz="4" w:space="1"/>
        </w:pBdr>
        <w:spacing w:after="0"/>
        <w:rPr>
          <w:rFonts w:ascii="Arial" w:hAnsi="Arial" w:cs="Arial"/>
          <w:highlight w:val="none"/>
        </w:rPr>
      </w:pPr>
    </w:p>
    <w:p>
      <w:pPr>
        <w:pBdr>
          <w:bottom w:val="single" w:color="auto" w:sz="4" w:space="1"/>
        </w:pBdr>
        <w:rPr>
          <w:rFonts w:ascii="Arial" w:hAnsi="Arial" w:cs="Arial"/>
          <w:highlight w:val="none"/>
        </w:rPr>
      </w:pPr>
    </w:p>
    <w:p>
      <w:pPr>
        <w:pStyle w:val="3"/>
        <w:outlineLvl w:val="0"/>
        <w:rPr>
          <w:highlight w:val="none"/>
        </w:rPr>
      </w:pPr>
      <w:r>
        <w:rPr>
          <w:highlight w:val="none"/>
        </w:rPr>
        <w:t>1</w:t>
      </w:r>
      <w:r>
        <w:rPr>
          <w:highlight w:val="none"/>
        </w:rPr>
        <w:tab/>
      </w:r>
      <w:r>
        <w:rPr>
          <w:highlight w:val="none"/>
        </w:rP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highlight w:val="none"/>
              </w:rPr>
            </w:pPr>
            <w:r>
              <w:rPr>
                <w:b/>
                <w:bCs/>
                <w:highlight w:val="none"/>
              </w:rPr>
              <w:t>Do you want to modify the time budget for this WI/SI compared to what was endorsed at the last RAN meeting?</w:t>
            </w:r>
          </w:p>
        </w:tc>
        <w:tc>
          <w:tcPr>
            <w:tcW w:w="1037" w:type="dxa"/>
            <w:vAlign w:val="center"/>
          </w:tcPr>
          <w:p>
            <w:pPr>
              <w:pStyle w:val="66"/>
              <w:jc w:val="center"/>
              <w:rPr>
                <w:highlight w:val="none"/>
                <w:lang w:eastAsia="ja-JP"/>
              </w:rPr>
            </w:pPr>
            <w:r>
              <w:rPr>
                <w:highlight w:val="none"/>
                <w:lang w:eastAsia="ja-JP"/>
              </w:rPr>
              <w:t>No</w:t>
            </w:r>
          </w:p>
        </w:tc>
      </w:tr>
    </w:tbl>
    <w:p>
      <w:pPr>
        <w:spacing w:after="0"/>
        <w:rPr>
          <w:rFonts w:ascii="Arial" w:hAnsi="Arial" w:cs="Arial"/>
          <w:highlight w:val="none"/>
        </w:rPr>
      </w:pPr>
    </w:p>
    <w:p>
      <w:pPr>
        <w:pStyle w:val="69"/>
        <w:rPr>
          <w:rFonts w:ascii="Arial" w:hAnsi="Arial" w:cs="Arial"/>
          <w:i/>
          <w:highlight w:val="none"/>
        </w:rPr>
      </w:pPr>
      <w:r>
        <w:rPr>
          <w:rFonts w:ascii="Arial" w:hAnsi="Arial" w:cs="Arial"/>
          <w:i/>
          <w:highlight w:val="none"/>
        </w:rPr>
        <w:t>If you answered No:</w:t>
      </w:r>
      <w:r>
        <w:rPr>
          <w:rFonts w:ascii="Arial" w:hAnsi="Arial" w:cs="Arial"/>
          <w:i/>
          <w:highlight w:val="none"/>
        </w:rPr>
        <w:tab/>
      </w:r>
      <w:r>
        <w:rPr>
          <w:rFonts w:ascii="Arial" w:hAnsi="Arial" w:cs="Arial"/>
          <w:i/>
          <w:highlight w:val="none"/>
        </w:rPr>
        <w:t>Then please remove the Excel file from the zip file of this status report.</w:t>
      </w:r>
    </w:p>
    <w:p>
      <w:pPr>
        <w:spacing w:after="0"/>
        <w:rPr>
          <w:rFonts w:ascii="Arial" w:hAnsi="Arial" w:cs="Arial"/>
          <w:b/>
          <w:highlight w:val="none"/>
        </w:rPr>
      </w:pPr>
      <w:r>
        <w:rPr>
          <w:rFonts w:ascii="Arial" w:hAnsi="Arial" w:cs="Arial"/>
          <w:b/>
          <w:highlight w:val="none"/>
        </w:rPr>
        <w:t>Additional explanations/motivations for the time budget changes in the attached Excel table:</w:t>
      </w:r>
    </w:p>
    <w:p>
      <w:pPr>
        <w:spacing w:after="0"/>
        <w:rPr>
          <w:rFonts w:ascii="Arial" w:hAnsi="Arial" w:cs="Arial"/>
          <w:highlight w:val="none"/>
        </w:rPr>
      </w:pPr>
    </w:p>
    <w:p>
      <w:pPr>
        <w:spacing w:after="0"/>
        <w:rPr>
          <w:rFonts w:ascii="Arial" w:hAnsi="Arial" w:cs="Arial"/>
          <w:highlight w:val="none"/>
        </w:rPr>
      </w:pPr>
    </w:p>
    <w:p>
      <w:pPr>
        <w:pStyle w:val="3"/>
        <w:rPr>
          <w:highlight w:val="none"/>
        </w:rPr>
      </w:pPr>
      <w:r>
        <w:rPr>
          <w:highlight w:val="none"/>
        </w:rPr>
        <w:t>2.</w:t>
      </w:r>
      <w:r>
        <w:rPr>
          <w:highlight w:val="none"/>
        </w:rPr>
        <w:tab/>
      </w:r>
      <w:r>
        <w:rPr>
          <w:highlight w:val="none"/>
        </w:rPr>
        <w:t>Detailed progress in RAN WGs since last TSG meeting (for all involved WGs)</w:t>
      </w:r>
    </w:p>
    <w:p>
      <w:pPr>
        <w:rPr>
          <w:rFonts w:ascii="Arial" w:hAnsi="Arial" w:cs="Arial"/>
          <w:highlight w:val="none"/>
        </w:rPr>
      </w:pPr>
      <w:r>
        <w:rPr>
          <w:highlight w:val="none"/>
        </w:rPr>
        <w:tab/>
      </w:r>
      <w:r>
        <w:rPr>
          <w:rFonts w:ascii="Arial" w:hAnsi="Arial" w:cs="Arial"/>
          <w:color w:val="FF0000"/>
          <w:highlight w:val="none"/>
        </w:rPr>
        <w:t>NOTE: Agreements and Open issues impacted cross-TSG aspects shall be explicitly highlighted</w:t>
      </w:r>
    </w:p>
    <w:p>
      <w:pPr>
        <w:pStyle w:val="3"/>
        <w:rPr>
          <w:highlight w:val="none"/>
          <w:lang w:eastAsia="ja-JP"/>
        </w:rPr>
      </w:pPr>
      <w:r>
        <w:rPr>
          <w:highlight w:val="none"/>
          <w:lang w:eastAsia="ja-JP"/>
        </w:rPr>
        <w:t>2.1</w:t>
      </w:r>
      <w:r>
        <w:rPr>
          <w:highlight w:val="none"/>
          <w:lang w:eastAsia="ja-JP"/>
        </w:rPr>
        <w:tab/>
      </w:r>
      <w:r>
        <w:rPr>
          <w:rFonts w:hint="eastAsia"/>
          <w:highlight w:val="none"/>
          <w:lang w:eastAsia="ja-JP"/>
        </w:rPr>
        <w:t>RAN1</w:t>
      </w:r>
    </w:p>
    <w:p>
      <w:pPr>
        <w:pStyle w:val="5"/>
        <w:rPr>
          <w:highlight w:val="none"/>
          <w:lang w:eastAsia="ja-JP"/>
        </w:rPr>
      </w:pPr>
      <w:r>
        <w:rPr>
          <w:highlight w:val="none"/>
          <w:lang w:eastAsia="ja-JP"/>
        </w:rPr>
        <w:t>2.1.1</w:t>
      </w:r>
      <w:r>
        <w:rPr>
          <w:highlight w:val="none"/>
          <w:lang w:eastAsia="ja-JP"/>
        </w:rPr>
        <w:tab/>
      </w:r>
      <w:r>
        <w:rPr>
          <w:highlight w:val="none"/>
          <w:lang w:eastAsia="ja-JP"/>
        </w:rPr>
        <w:t>Agreements</w:t>
      </w:r>
    </w:p>
    <w:p>
      <w:pPr>
        <w:pStyle w:val="5"/>
        <w:rPr>
          <w:highlight w:val="none"/>
          <w:lang w:eastAsia="ja-JP"/>
        </w:rPr>
      </w:pPr>
      <w:r>
        <w:rPr>
          <w:highlight w:val="none"/>
          <w:lang w:eastAsia="ja-JP"/>
        </w:rPr>
        <w:t>2.1.2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2.2</w:t>
      </w:r>
      <w:r>
        <w:rPr>
          <w:highlight w:val="none"/>
          <w:lang w:eastAsia="ja-JP"/>
        </w:rPr>
        <w:tab/>
      </w:r>
      <w:r>
        <w:rPr>
          <w:rFonts w:hint="eastAsia"/>
          <w:highlight w:val="none"/>
          <w:lang w:eastAsia="ja-JP"/>
        </w:rPr>
        <w:t>RAN2</w:t>
      </w:r>
    </w:p>
    <w:p>
      <w:pPr>
        <w:pStyle w:val="5"/>
        <w:rPr>
          <w:highlight w:val="none"/>
          <w:lang w:eastAsia="ja-JP"/>
        </w:rPr>
      </w:pPr>
      <w:r>
        <w:rPr>
          <w:highlight w:val="none"/>
          <w:lang w:eastAsia="ja-JP"/>
        </w:rPr>
        <w:t>2.2.1</w:t>
      </w:r>
      <w:r>
        <w:rPr>
          <w:highlight w:val="none"/>
          <w:lang w:eastAsia="ja-JP"/>
        </w:rPr>
        <w:tab/>
      </w:r>
      <w:r>
        <w:rPr>
          <w:highlight w:val="none"/>
          <w:lang w:eastAsia="ja-JP"/>
        </w:rPr>
        <w:t>Agreements</w:t>
      </w:r>
    </w:p>
    <w:p>
      <w:pPr>
        <w:pStyle w:val="5"/>
        <w:rPr>
          <w:highlight w:val="none"/>
          <w:lang w:eastAsia="ja-JP"/>
        </w:rPr>
      </w:pPr>
      <w:r>
        <w:rPr>
          <w:highlight w:val="none"/>
          <w:lang w:eastAsia="ja-JP"/>
        </w:rPr>
        <w:t>2.2.2</w:t>
      </w:r>
      <w:r>
        <w:rPr>
          <w:highlight w:val="none"/>
          <w:lang w:eastAsia="ja-JP"/>
        </w:rPr>
        <w:tab/>
      </w:r>
      <w:r>
        <w:rPr>
          <w:highlight w:val="none"/>
          <w:lang w:eastAsia="ja-JP"/>
        </w:rPr>
        <w:t xml:space="preserve">Remaining Open issues </w:t>
      </w:r>
    </w:p>
    <w:p>
      <w:pPr>
        <w:pStyle w:val="3"/>
        <w:rPr>
          <w:highlight w:val="none"/>
          <w:lang w:eastAsia="ja-JP"/>
        </w:rPr>
      </w:pPr>
      <w:r>
        <w:rPr>
          <w:highlight w:val="none"/>
          <w:lang w:eastAsia="ja-JP"/>
        </w:rPr>
        <w:t>2.3</w:t>
      </w:r>
      <w:r>
        <w:rPr>
          <w:highlight w:val="none"/>
          <w:lang w:eastAsia="ja-JP"/>
        </w:rPr>
        <w:tab/>
      </w:r>
      <w:r>
        <w:rPr>
          <w:rFonts w:hint="eastAsia"/>
          <w:highlight w:val="none"/>
          <w:lang w:eastAsia="ja-JP"/>
        </w:rPr>
        <w:t>RAN3</w:t>
      </w:r>
    </w:p>
    <w:p>
      <w:pPr>
        <w:pStyle w:val="5"/>
        <w:rPr>
          <w:highlight w:val="none"/>
          <w:lang w:eastAsia="ja-JP"/>
        </w:rPr>
      </w:pPr>
      <w:r>
        <w:rPr>
          <w:highlight w:val="none"/>
          <w:lang w:eastAsia="ja-JP"/>
        </w:rPr>
        <w:t>2.3.1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2.3.2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2.4</w:t>
      </w:r>
      <w:r>
        <w:rPr>
          <w:highlight w:val="none"/>
          <w:lang w:eastAsia="ja-JP"/>
        </w:rPr>
        <w:tab/>
      </w:r>
      <w:r>
        <w:rPr>
          <w:rFonts w:hint="eastAsia"/>
          <w:highlight w:val="none"/>
          <w:lang w:eastAsia="ja-JP"/>
        </w:rPr>
        <w:t>RAN4</w:t>
      </w:r>
    </w:p>
    <w:p>
      <w:pPr>
        <w:pStyle w:val="5"/>
        <w:rPr>
          <w:highlight w:val="none"/>
          <w:lang w:eastAsia="ja-JP"/>
        </w:rPr>
      </w:pPr>
      <w:r>
        <w:rPr>
          <w:highlight w:val="none"/>
          <w:lang w:eastAsia="ja-JP"/>
        </w:rPr>
        <w:t>2.4.1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2.4.2</w:t>
      </w:r>
      <w:r>
        <w:rPr>
          <w:highlight w:val="none"/>
          <w:lang w:eastAsia="ja-JP"/>
        </w:rPr>
        <w:tab/>
      </w:r>
      <w:r>
        <w:rPr>
          <w:highlight w:val="none"/>
          <w:lang w:eastAsia="ja-JP"/>
        </w:rPr>
        <w:t>Remaining Open issues</w:t>
      </w:r>
    </w:p>
    <w:p>
      <w:pPr>
        <w:pStyle w:val="3"/>
        <w:rPr>
          <w:highlight w:val="none"/>
          <w:lang w:eastAsia="ja-JP"/>
        </w:rPr>
      </w:pPr>
      <w:r>
        <w:rPr>
          <w:highlight w:val="none"/>
          <w:lang w:eastAsia="ja-JP"/>
        </w:rPr>
        <w:t>2.5</w:t>
      </w:r>
      <w:r>
        <w:rPr>
          <w:highlight w:val="none"/>
          <w:lang w:eastAsia="ja-JP"/>
        </w:rPr>
        <w:tab/>
      </w:r>
      <w:r>
        <w:rPr>
          <w:rFonts w:hint="eastAsia"/>
          <w:highlight w:val="none"/>
          <w:lang w:eastAsia="ja-JP"/>
        </w:rPr>
        <w:t>RAN</w:t>
      </w:r>
      <w:r>
        <w:rPr>
          <w:highlight w:val="none"/>
          <w:lang w:eastAsia="ja-JP"/>
        </w:rPr>
        <w:t>5</w:t>
      </w:r>
    </w:p>
    <w:p>
      <w:pPr>
        <w:pStyle w:val="5"/>
        <w:rPr>
          <w:highlight w:val="none"/>
          <w:lang w:eastAsia="ja-JP"/>
        </w:rPr>
      </w:pPr>
      <w:r>
        <w:rPr>
          <w:highlight w:val="none"/>
          <w:lang w:eastAsia="ja-JP"/>
        </w:rPr>
        <w:t>2.5.1</w:t>
      </w:r>
      <w:r>
        <w:rPr>
          <w:highlight w:val="none"/>
          <w:lang w:eastAsia="ja-JP"/>
        </w:rPr>
        <w:tab/>
      </w:r>
      <w:r>
        <w:rPr>
          <w:highlight w:val="none"/>
          <w:lang w:eastAsia="ja-JP"/>
        </w:rPr>
        <w:t>Agreements</w:t>
      </w:r>
    </w:p>
    <w:p>
      <w:pPr>
        <w:autoSpaceDE/>
        <w:autoSpaceDN/>
        <w:snapToGrid w:val="0"/>
        <w:spacing w:afterLines="50"/>
        <w:rPr>
          <w:rFonts w:ascii="Arial" w:hAnsi="Arial" w:cs="Arial"/>
          <w:highlight w:val="none"/>
        </w:rPr>
      </w:pPr>
      <w:r>
        <w:rPr>
          <w:rFonts w:ascii="Arial" w:hAnsi="Arial" w:cs="Arial"/>
          <w:highlight w:val="none"/>
        </w:rPr>
        <w:t>Status after RAN5#9</w:t>
      </w:r>
      <w:r>
        <w:rPr>
          <w:rFonts w:hint="default" w:ascii="Arial" w:hAnsi="Arial" w:cs="Arial"/>
          <w:highlight w:val="none"/>
          <w:lang w:val="en-US"/>
        </w:rPr>
        <w:t>9</w:t>
      </w:r>
      <w:r>
        <w:rPr>
          <w:rFonts w:ascii="Arial" w:hAnsi="Arial" w:cs="Arial"/>
          <w:highlight w:val="none"/>
        </w:rPr>
        <w:t xml:space="preserve"> (the details can be found in </w:t>
      </w:r>
      <w:r>
        <w:rPr>
          <w:rFonts w:hint="eastAsia" w:ascii="Arial" w:hAnsi="Arial" w:eastAsia="宋体" w:cs="Arial"/>
          <w:highlight w:val="none"/>
          <w:lang w:eastAsia="zh-CN"/>
        </w:rPr>
        <w:t>R5-</w:t>
      </w:r>
      <w:r>
        <w:rPr>
          <w:rFonts w:hint="eastAsia" w:ascii="Arial" w:hAnsi="Arial" w:cs="Arial"/>
          <w:highlight w:val="none"/>
          <w:lang w:val="en-US" w:eastAsia="zh-CN"/>
        </w:rPr>
        <w:t>232788</w:t>
      </w:r>
      <w:r>
        <w:rPr>
          <w:rFonts w:ascii="Arial" w:hAnsi="Arial" w:cs="Arial"/>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eastAsiaTheme="minorEastAsia"/>
          <w:highlight w:val="none"/>
          <w:lang w:val="en-US"/>
        </w:rPr>
        <w:t>42</w:t>
      </w:r>
      <w:r>
        <w:rPr>
          <w:rFonts w:ascii="Arial" w:hAnsi="Arial" w:cs="Arial"/>
          <w:highlight w:val="none"/>
        </w:rPr>
        <w:t>% overall completeness achieved</w:t>
      </w:r>
    </w:p>
    <w:p>
      <w:pPr>
        <w:numPr>
          <w:ilvl w:val="0"/>
          <w:numId w:val="5"/>
        </w:numPr>
        <w:overflowPunct/>
        <w:autoSpaceDE/>
        <w:autoSpaceDN/>
        <w:snapToGrid w:val="0"/>
        <w:spacing w:afterLines="50"/>
        <w:textAlignment w:val="auto"/>
        <w:rPr>
          <w:rFonts w:ascii="Arial" w:hAnsi="Arial" w:cs="Arial"/>
          <w:highlight w:val="none"/>
        </w:rPr>
      </w:pPr>
      <w:r>
        <w:rPr>
          <w:rFonts w:hint="default" w:ascii="Arial" w:hAnsi="Arial" w:cs="Arial"/>
          <w:highlight w:val="none"/>
          <w:lang w:val="en-US"/>
        </w:rPr>
        <w:t xml:space="preserve">For test environment, </w:t>
      </w:r>
      <w:r>
        <w:rPr>
          <w:rFonts w:hint="default" w:ascii="Arial" w:hAnsi="Arial" w:eastAsia="宋体" w:cs="Arial"/>
          <w:highlight w:val="none"/>
          <w:lang w:val="en-US" w:eastAsia="zh-CN"/>
        </w:rPr>
        <w:t>5</w:t>
      </w:r>
      <w:r>
        <w:rPr>
          <w:rFonts w:hint="eastAsia" w:ascii="Arial" w:hAnsi="Arial" w:eastAsia="宋体" w:cs="Arial"/>
          <w:highlight w:val="none"/>
          <w:lang w:val="en-US" w:eastAsia="zh-CN"/>
        </w:rPr>
        <w:t xml:space="preserve"> </w:t>
      </w:r>
      <w:r>
        <w:rPr>
          <w:rFonts w:hint="default" w:ascii="Arial" w:hAnsi="Arial" w:cs="Arial"/>
          <w:highlight w:val="none"/>
          <w:lang w:val="en-US"/>
        </w:rPr>
        <w:t>Tdoc w</w:t>
      </w:r>
      <w:r>
        <w:rPr>
          <w:rFonts w:hint="eastAsia" w:ascii="Arial" w:hAnsi="Arial" w:eastAsia="宋体" w:cs="Arial"/>
          <w:highlight w:val="none"/>
          <w:lang w:val="en-US" w:eastAsia="zh-CN"/>
        </w:rPr>
        <w:t>ere</w:t>
      </w:r>
      <w:r>
        <w:rPr>
          <w:rFonts w:hint="default" w:ascii="Arial" w:hAnsi="Arial" w:cs="Arial"/>
          <w:highlight w:val="none"/>
          <w:lang w:val="en-US"/>
        </w:rPr>
        <w:t xml:space="preserve"> agreed.</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highlight w:val="none"/>
        </w:rPr>
        <w:t>For</w:t>
      </w:r>
      <w:r>
        <w:rPr>
          <w:rFonts w:ascii="Arial" w:hAnsi="Arial" w:cs="Arial"/>
          <w:highlight w:val="none"/>
        </w:rPr>
        <w:t xml:space="preserve"> Common </w:t>
      </w:r>
      <w:r>
        <w:rPr>
          <w:rFonts w:hint="default" w:ascii="Arial" w:hAnsi="Arial" w:cs="Arial"/>
          <w:highlight w:val="none"/>
          <w:lang w:val="en-US"/>
        </w:rPr>
        <w:t>ICS</w:t>
      </w:r>
      <w:r>
        <w:rPr>
          <w:rFonts w:ascii="Arial" w:hAnsi="Arial" w:cs="Arial"/>
          <w:highlight w:val="none"/>
        </w:rPr>
        <w:t>,</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7</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Tdocs</w:t>
      </w:r>
      <w:r>
        <w:rPr>
          <w:rFonts w:hint="eastAsia" w:ascii="Arial" w:hAnsi="Arial" w:cs="Arial" w:eastAsiaTheme="minorEastAsia"/>
          <w:highlight w:val="none"/>
        </w:rPr>
        <w:t xml:space="preserve"> w</w:t>
      </w:r>
      <w:r>
        <w:rPr>
          <w:rFonts w:hint="default" w:ascii="Arial" w:hAnsi="Arial" w:cs="Arial" w:eastAsiaTheme="minorEastAsia"/>
          <w:highlight w:val="none"/>
          <w:lang w:val="en-US"/>
        </w:rPr>
        <w:t>ere</w:t>
      </w:r>
      <w:r>
        <w:rPr>
          <w:rFonts w:hint="eastAsia" w:ascii="Arial" w:hAnsi="Arial" w:cs="Arial" w:eastAsiaTheme="minorEastAsia"/>
          <w:highlight w:val="none"/>
        </w:rPr>
        <w:t xml:space="preserve"> agreed</w:t>
      </w:r>
      <w:r>
        <w:rPr>
          <w:rFonts w:hint="default" w:ascii="Arial" w:hAnsi="Arial" w:cs="Arial" w:eastAsiaTheme="minorEastAsia"/>
          <w:highlight w:val="none"/>
          <w:lang w:val="en-US"/>
        </w:rPr>
        <w:t>.</w:t>
      </w:r>
    </w:p>
    <w:p>
      <w:pPr>
        <w:numPr>
          <w:ilvl w:val="0"/>
          <w:numId w:val="5"/>
        </w:numPr>
        <w:overflowPunct/>
        <w:autoSpaceDE/>
        <w:autoSpaceDN/>
        <w:snapToGrid w:val="0"/>
        <w:spacing w:afterLines="50"/>
        <w:textAlignment w:val="auto"/>
        <w:rPr>
          <w:rFonts w:ascii="Arial" w:hAnsi="Arial" w:cs="Arial"/>
          <w:highlight w:val="none"/>
        </w:rPr>
      </w:pPr>
      <w:r>
        <w:rPr>
          <w:rFonts w:ascii="Arial" w:hAnsi="Arial" w:cs="Arial"/>
          <w:highlight w:val="none"/>
        </w:rPr>
        <w:t>For</w:t>
      </w:r>
      <w:r>
        <w:rPr>
          <w:rFonts w:ascii="Arial" w:hAnsi="Arial" w:eastAsia="宋体" w:cs="Arial"/>
          <w:highlight w:val="none"/>
        </w:rPr>
        <w:t xml:space="preserve"> </w:t>
      </w:r>
      <w:r>
        <w:rPr>
          <w:rFonts w:hint="eastAsia" w:ascii="Arial" w:hAnsi="Arial" w:eastAsia="宋体" w:cs="Arial"/>
          <w:highlight w:val="none"/>
        </w:rPr>
        <w:t>R</w:t>
      </w:r>
      <w:r>
        <w:rPr>
          <w:rFonts w:hint="default" w:ascii="Arial" w:hAnsi="Arial" w:eastAsia="宋体" w:cs="Arial"/>
          <w:highlight w:val="none"/>
          <w:lang w:val="en-US"/>
        </w:rPr>
        <w:t>F</w:t>
      </w:r>
      <w:r>
        <w:rPr>
          <w:rFonts w:ascii="Arial" w:hAnsi="Arial" w:cs="Arial"/>
          <w:highlight w:val="none"/>
        </w:rPr>
        <w:t xml:space="preserve">, </w:t>
      </w:r>
      <w:r>
        <w:rPr>
          <w:rFonts w:hint="default" w:ascii="Arial" w:hAnsi="Arial" w:eastAsia="宋体" w:cs="Arial"/>
          <w:highlight w:val="none"/>
          <w:lang w:val="en-US" w:eastAsia="zh-CN"/>
        </w:rPr>
        <w:t>30</w:t>
      </w:r>
      <w:r>
        <w:rPr>
          <w:rFonts w:ascii="Arial" w:hAnsi="Arial" w:cs="Arial"/>
          <w:highlight w:val="none"/>
        </w:rPr>
        <w:t xml:space="preserve"> </w:t>
      </w:r>
      <w:r>
        <w:rPr>
          <w:rFonts w:hint="default" w:ascii="Arial" w:hAnsi="Arial" w:cs="Arial" w:eastAsiaTheme="minorEastAsia"/>
          <w:highlight w:val="none"/>
          <w:lang w:val="en-US"/>
        </w:rPr>
        <w:t>Tdocs</w:t>
      </w:r>
      <w:r>
        <w:rPr>
          <w:rFonts w:ascii="Arial" w:hAnsi="Arial" w:cs="Arial"/>
          <w:highlight w:val="none"/>
        </w:rPr>
        <w:t xml:space="preserve"> were agreed.</w:t>
      </w:r>
    </w:p>
    <w:p>
      <w:pPr>
        <w:numPr>
          <w:ilvl w:val="0"/>
          <w:numId w:val="5"/>
        </w:numPr>
        <w:overflowPunct/>
        <w:autoSpaceDE/>
        <w:autoSpaceDN/>
        <w:snapToGrid w:val="0"/>
        <w:spacing w:afterLines="50"/>
        <w:textAlignment w:val="auto"/>
        <w:rPr>
          <w:rFonts w:hint="eastAsia" w:ascii="Arial" w:hAnsi="Arial" w:eastAsia="Times New Roman" w:cs="Arial"/>
          <w:highlight w:val="none"/>
        </w:rPr>
      </w:pPr>
      <w:r>
        <w:rPr>
          <w:rFonts w:hint="eastAsia" w:ascii="Arial" w:hAnsi="Arial" w:cs="Arial" w:eastAsiaTheme="minorEastAsia"/>
          <w:highlight w:val="none"/>
        </w:rPr>
        <w:t xml:space="preserve">For applicability, </w:t>
      </w:r>
      <w:r>
        <w:rPr>
          <w:rFonts w:hint="default" w:ascii="Arial" w:hAnsi="Arial" w:cs="Arial" w:eastAsiaTheme="minorEastAsia"/>
          <w:highlight w:val="none"/>
          <w:lang w:val="en-US" w:eastAsia="zh-CN"/>
        </w:rPr>
        <w:t>1</w:t>
      </w:r>
      <w:r>
        <w:rPr>
          <w:rFonts w:hint="default" w:ascii="Arial" w:hAnsi="Arial" w:cs="Arial"/>
          <w:highlight w:val="none"/>
          <w:lang w:val="en-US"/>
        </w:rPr>
        <w:t xml:space="preserve">Tdoc </w:t>
      </w:r>
      <w:r>
        <w:rPr>
          <w:rFonts w:ascii="Arial" w:hAnsi="Arial" w:cs="Arial"/>
          <w:highlight w:val="none"/>
        </w:rPr>
        <w:t>w</w:t>
      </w:r>
      <w:r>
        <w:rPr>
          <w:rFonts w:hint="default" w:ascii="Arial" w:hAnsi="Arial"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rPr>
        <w:t xml:space="preserve">For TT analysis, </w:t>
      </w:r>
      <w:r>
        <w:rPr>
          <w:rFonts w:hint="default" w:ascii="Arial" w:hAnsi="Arial" w:cs="Arial" w:eastAsiaTheme="minorEastAsia"/>
          <w:highlight w:val="none"/>
          <w:lang w:val="en-US" w:eastAsia="zh-CN"/>
        </w:rPr>
        <w:t>8</w:t>
      </w:r>
      <w:r>
        <w:rPr>
          <w:rFonts w:hint="eastAsia" w:ascii="Arial" w:hAnsi="Arial" w:cs="Arial" w:eastAsiaTheme="minorEastAsia"/>
          <w:highlight w:val="none"/>
        </w:rPr>
        <w:t xml:space="preserve"> </w:t>
      </w:r>
      <w:r>
        <w:rPr>
          <w:rFonts w:hint="default" w:ascii="Arial" w:hAnsi="Arial" w:cs="Arial"/>
          <w:highlight w:val="none"/>
          <w:lang w:val="en-US"/>
        </w:rPr>
        <w:t xml:space="preserve">Tdocs </w:t>
      </w:r>
      <w:r>
        <w:rPr>
          <w:rFonts w:hint="eastAsia" w:ascii="Arial" w:hAnsi="Arial" w:cs="Arial" w:eastAsiaTheme="minorEastAsia"/>
          <w:highlight w:val="none"/>
        </w:rPr>
        <w:t>were agreed</w:t>
      </w:r>
      <w:r>
        <w:rPr>
          <w:rFonts w:hint="default"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highlight w:val="none"/>
          <w:lang w:eastAsia="ja-JP"/>
        </w:rPr>
      </w:pPr>
      <w:r>
        <w:rPr>
          <w:rFonts w:ascii="Arial" w:hAnsi="Arial" w:cs="Arial"/>
          <w:bCs/>
          <w:highlight w:val="none"/>
        </w:rPr>
        <w:t>See the work plan for details [1].</w:t>
      </w:r>
    </w:p>
    <w:p>
      <w:pPr>
        <w:pStyle w:val="5"/>
        <w:rPr>
          <w:highlight w:val="none"/>
          <w:lang w:eastAsia="ja-JP"/>
        </w:rPr>
      </w:pPr>
      <w:r>
        <w:rPr>
          <w:highlight w:val="none"/>
          <w:lang w:eastAsia="ja-JP"/>
        </w:rPr>
        <w:t>2.5.3</w:t>
      </w:r>
      <w:r>
        <w:rPr>
          <w:highlight w:val="none"/>
          <w:lang w:eastAsia="ja-JP"/>
        </w:rPr>
        <w:tab/>
      </w:r>
      <w:r>
        <w:rPr>
          <w:highlight w:val="none"/>
          <w:lang w:eastAsia="ja-JP"/>
        </w:rPr>
        <w:t>Remaining Open issues with cross-WG dependencies</w:t>
      </w:r>
    </w:p>
    <w:p>
      <w:pPr>
        <w:rPr>
          <w:rFonts w:ascii="Arial" w:hAnsi="Arial" w:cs="Arial"/>
          <w:bCs/>
          <w:highlight w:val="none"/>
        </w:rPr>
      </w:pPr>
      <w:r>
        <w:rPr>
          <w:rFonts w:ascii="Arial" w:hAnsi="Arial" w:cs="Arial"/>
          <w:bCs/>
          <w:highlight w:val="none"/>
        </w:rPr>
        <w:t>N/A.</w:t>
      </w:r>
    </w:p>
    <w:p>
      <w:pPr>
        <w:pStyle w:val="3"/>
        <w:rPr>
          <w:highlight w:val="none"/>
          <w:lang w:eastAsia="ja-JP"/>
        </w:rPr>
      </w:pPr>
      <w:r>
        <w:rPr>
          <w:highlight w:val="none"/>
          <w:lang w:eastAsia="ja-JP"/>
        </w:rPr>
        <w:t>2.6</w:t>
      </w:r>
      <w:r>
        <w:rPr>
          <w:highlight w:val="none"/>
          <w:lang w:eastAsia="ja-JP"/>
        </w:rPr>
        <w:tab/>
      </w:r>
      <w:r>
        <w:rPr>
          <w:rFonts w:hint="eastAsia"/>
          <w:highlight w:val="none"/>
          <w:lang w:eastAsia="ja-JP"/>
        </w:rPr>
        <w:t>RAN6</w:t>
      </w:r>
    </w:p>
    <w:p>
      <w:pPr>
        <w:pStyle w:val="5"/>
        <w:rPr>
          <w:highlight w:val="none"/>
          <w:lang w:eastAsia="ja-JP"/>
        </w:rPr>
      </w:pPr>
      <w:r>
        <w:rPr>
          <w:highlight w:val="none"/>
          <w:lang w:eastAsia="ja-JP"/>
        </w:rPr>
        <w:t>2.6.1</w:t>
      </w:r>
      <w:r>
        <w:rPr>
          <w:highlight w:val="none"/>
          <w:lang w:eastAsia="ja-JP"/>
        </w:rPr>
        <w:tab/>
      </w:r>
      <w:r>
        <w:rPr>
          <w:highlight w:val="none"/>
          <w:lang w:eastAsia="ja-JP"/>
        </w:rPr>
        <w:t>Agreements</w:t>
      </w:r>
    </w:p>
    <w:p>
      <w:pPr>
        <w:pStyle w:val="5"/>
        <w:rPr>
          <w:rFonts w:cs="Arial"/>
          <w:highlight w:val="none"/>
          <w:lang w:eastAsia="ja-JP"/>
        </w:rPr>
      </w:pPr>
      <w:r>
        <w:rPr>
          <w:highlight w:val="none"/>
          <w:lang w:eastAsia="ja-JP"/>
        </w:rPr>
        <w:t>2.6.2</w:t>
      </w:r>
      <w:r>
        <w:rPr>
          <w:highlight w:val="none"/>
          <w:lang w:eastAsia="ja-JP"/>
        </w:rPr>
        <w:tab/>
      </w:r>
      <w:r>
        <w:rPr>
          <w:highlight w:val="none"/>
          <w:lang w:eastAsia="ja-JP"/>
        </w:rPr>
        <w:t>Remaining Open issues</w:t>
      </w:r>
    </w:p>
    <w:p>
      <w:pPr>
        <w:pStyle w:val="3"/>
        <w:rPr>
          <w:highlight w:val="none"/>
        </w:rPr>
      </w:pPr>
      <w:r>
        <w:rPr>
          <w:highlight w:val="none"/>
        </w:rPr>
        <w:t>3.</w:t>
      </w:r>
      <w:r>
        <w:rPr>
          <w:highlight w:val="none"/>
        </w:rPr>
        <w:tab/>
      </w:r>
      <w:r>
        <w:rPr>
          <w:highlight w:val="none"/>
        </w:rPr>
        <w:t>Detailed progress in SA/CT WGs since last TSG meeting (for all involved WGs)</w:t>
      </w:r>
    </w:p>
    <w:p>
      <w:pPr>
        <w:rPr>
          <w:rFonts w:ascii="Arial" w:hAnsi="Arial" w:cs="Arial"/>
          <w:iCs/>
          <w:color w:val="FF0000"/>
          <w:highlight w:val="none"/>
        </w:rPr>
      </w:pPr>
      <w:r>
        <w:rPr>
          <w:rFonts w:ascii="Arial" w:hAnsi="Arial" w:cs="Arial"/>
          <w:iCs/>
          <w:color w:val="FF0000"/>
          <w:highlight w:val="none"/>
        </w:rPr>
        <w:t xml:space="preserve">NOTE: This section only needs to be filled in for WI/SIs where there is a corresponding relevant WI/SI in SA/CT. </w:t>
      </w:r>
    </w:p>
    <w:p>
      <w:pPr>
        <w:pStyle w:val="3"/>
        <w:rPr>
          <w:highlight w:val="none"/>
          <w:lang w:eastAsia="ja-JP"/>
        </w:rPr>
      </w:pPr>
      <w:r>
        <w:rPr>
          <w:highlight w:val="none"/>
          <w:lang w:eastAsia="ja-JP"/>
        </w:rPr>
        <w:t>3.1</w:t>
      </w:r>
      <w:r>
        <w:rPr>
          <w:highlight w:val="none"/>
          <w:lang w:eastAsia="ja-JP"/>
        </w:rPr>
        <w:tab/>
      </w:r>
      <w:r>
        <w:rPr>
          <w:highlight w:val="none"/>
          <w:lang w:eastAsia="ja-JP"/>
        </w:rPr>
        <w:t>SAx/CTs</w:t>
      </w:r>
    </w:p>
    <w:p>
      <w:pPr>
        <w:pStyle w:val="5"/>
        <w:rPr>
          <w:highlight w:val="none"/>
          <w:lang w:eastAsia="ja-JP"/>
        </w:rPr>
      </w:pPr>
      <w:r>
        <w:rPr>
          <w:highlight w:val="none"/>
          <w:lang w:eastAsia="ja-JP"/>
        </w:rPr>
        <w:t>3.1.1</w:t>
      </w:r>
      <w:r>
        <w:rPr>
          <w:highlight w:val="none"/>
          <w:lang w:eastAsia="ja-JP"/>
        </w:rPr>
        <w:tab/>
      </w:r>
      <w:r>
        <w:rPr>
          <w:highlight w:val="none"/>
          <w:lang w:eastAsia="ja-JP"/>
        </w:rPr>
        <w:t>Agreements with cross-TSG impacts</w:t>
      </w:r>
    </w:p>
    <w:p>
      <w:pPr>
        <w:pStyle w:val="5"/>
        <w:rPr>
          <w:highlight w:val="none"/>
          <w:lang w:eastAsia="ja-JP"/>
        </w:rPr>
      </w:pPr>
      <w:r>
        <w:rPr>
          <w:highlight w:val="none"/>
          <w:lang w:eastAsia="ja-JP"/>
        </w:rPr>
        <w:t>3.1.2</w:t>
      </w:r>
      <w:r>
        <w:rPr>
          <w:highlight w:val="none"/>
          <w:lang w:eastAsia="ja-JP"/>
        </w:rPr>
        <w:tab/>
      </w:r>
      <w:r>
        <w:rPr>
          <w:highlight w:val="none"/>
          <w:lang w:eastAsia="ja-JP"/>
        </w:rPr>
        <w:t>Remaining Open issues with cross-TSG impacts</w:t>
      </w:r>
    </w:p>
    <w:p>
      <w:pPr>
        <w:ind w:firstLine="567"/>
        <w:rPr>
          <w:rFonts w:ascii="Arial" w:hAnsi="Arial" w:cs="Arial"/>
          <w:iCs/>
          <w:color w:val="FF0000"/>
          <w:highlight w:val="none"/>
        </w:rPr>
      </w:pPr>
      <w:r>
        <w:rPr>
          <w:rFonts w:ascii="Arial" w:hAnsi="Arial" w:cs="Arial"/>
          <w:iCs/>
          <w:color w:val="FF0000"/>
          <w:highlight w:val="none"/>
        </w:rPr>
        <w:t xml:space="preserve">NOTE: This section should also flag any critical dependencies that need TSG attention. </w:t>
      </w:r>
      <w:r>
        <w:rPr>
          <w:rFonts w:ascii="Arial" w:hAnsi="Arial" w:cs="Arial"/>
          <w:iCs/>
          <w:color w:val="FF0000"/>
          <w:highlight w:val="none"/>
        </w:rPr>
        <w:br w:type="textWrapping"/>
      </w:r>
      <w:r>
        <w:rPr>
          <w:rFonts w:ascii="Arial" w:hAnsi="Arial" w:cs="Arial"/>
          <w:iCs/>
          <w:color w:val="FF0000"/>
          <w:highlight w:val="none"/>
        </w:rPr>
        <w:tab/>
      </w:r>
    </w:p>
    <w:p>
      <w:pPr>
        <w:pStyle w:val="3"/>
        <w:rPr>
          <w:highlight w:val="none"/>
        </w:rPr>
      </w:pPr>
      <w:r>
        <w:rPr>
          <w:highlight w:val="none"/>
        </w:rPr>
        <w:t>4.</w:t>
      </w:r>
      <w:r>
        <w:rPr>
          <w:highlight w:val="none"/>
        </w:rPr>
        <w:tab/>
      </w:r>
      <w:r>
        <w:rPr>
          <w:highlight w:val="none"/>
        </w:rPr>
        <w:t>References</w:t>
      </w:r>
    </w:p>
    <w:p>
      <w:pPr>
        <w:pStyle w:val="69"/>
        <w:rPr>
          <w:rFonts w:ascii="Arial" w:hAnsi="Arial" w:cs="Arial"/>
          <w:iCs/>
          <w:color w:val="FF0000"/>
          <w:highlight w:val="none"/>
        </w:rPr>
      </w:pPr>
      <w:r>
        <w:rPr>
          <w:rFonts w:ascii="Arial" w:hAnsi="Arial" w:cs="Arial"/>
          <w:iCs/>
          <w:color w:val="FF0000"/>
          <w:highlight w:val="none"/>
        </w:rPr>
        <w:t>NOTE:</w:t>
      </w:r>
      <w:r>
        <w:rPr>
          <w:rFonts w:ascii="Arial" w:hAnsi="Arial" w:cs="Arial"/>
          <w:iCs/>
          <w:color w:val="FF0000"/>
          <w:highlight w:val="none"/>
        </w:rPr>
        <w:tab/>
      </w:r>
      <w:r>
        <w:rPr>
          <w:rFonts w:ascii="Arial" w:hAnsi="Arial" w:cs="Arial"/>
          <w:iCs/>
          <w:color w:val="FF0000"/>
          <w:highlight w:val="none"/>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highlight w:val="yellow"/>
          <w:lang w:eastAsia="ja-JP"/>
        </w:rPr>
      </w:pPr>
    </w:p>
    <w:p>
      <w:pPr>
        <w:overflowPunct/>
        <w:autoSpaceDE/>
        <w:autoSpaceDN/>
        <w:snapToGrid w:val="0"/>
        <w:spacing w:after="0"/>
        <w:textAlignment w:val="auto"/>
        <w:rPr>
          <w:rFonts w:hint="eastAsia" w:ascii="Arial" w:hAnsi="Arial" w:cs="Arial" w:eastAsiaTheme="minorEastAsia"/>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w:t>
      </w:r>
      <w:r>
        <w:rPr>
          <w:rFonts w:hint="eastAsia" w:ascii="Arial" w:hAnsi="Arial" w:eastAsia="宋体" w:cs="Arial"/>
          <w:bCs/>
          <w:highlight w:val="none"/>
          <w:lang w:val="en-US" w:eastAsia="zh-CN"/>
        </w:rPr>
        <w:t>2788</w:t>
      </w:r>
      <w:r>
        <w:rPr>
          <w:rFonts w:hint="eastAsia" w:ascii="Arial" w:hAnsi="Arial" w:cs="Arial"/>
          <w:bCs/>
          <w:highlight w:val="none"/>
        </w:rPr>
        <w:tab/>
      </w:r>
      <w:r>
        <w:rPr>
          <w:rFonts w:hint="eastAsia" w:ascii="Arial" w:hAnsi="Arial" w:cs="Arial"/>
          <w:bCs/>
          <w:highlight w:val="none"/>
        </w:rPr>
        <w:t>WP NR_Rel-16_CA_DC after RAN5#9</w:t>
      </w:r>
      <w:r>
        <w:rPr>
          <w:rFonts w:hint="eastAsia" w:ascii="Arial" w:hAnsi="Arial" w:eastAsia="宋体" w:cs="Arial"/>
          <w:bCs/>
          <w:highlight w:val="none"/>
          <w:lang w:val="en-US" w:eastAsia="zh-CN"/>
        </w:rPr>
        <w:t>9</w:t>
      </w:r>
      <w:r>
        <w:rPr>
          <w:rFonts w:hint="eastAsia" w:ascii="Arial" w:hAnsi="Arial" w:cs="Arial"/>
          <w:bCs/>
          <w:highlight w:val="none"/>
        </w:rPr>
        <w:t>, CMCC</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R5-233205</w:t>
      </w:r>
      <w:r>
        <w:rPr>
          <w:rFonts w:hint="eastAsia" w:ascii="Arial" w:hAnsi="Arial" w:cs="Arial"/>
          <w:bCs/>
          <w:highlight w:val="none"/>
        </w:rPr>
        <w:tab/>
      </w:r>
      <w:r>
        <w:rPr>
          <w:rFonts w:hint="eastAsia" w:ascii="Arial" w:hAnsi="Arial" w:cs="Arial"/>
          <w:bCs/>
          <w:highlight w:val="none"/>
        </w:rPr>
        <w:t>Discussion on simplification for inter-band 2UL co-existence test, ZTE Corporation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R5-232107</w:t>
      </w:r>
      <w:r>
        <w:rPr>
          <w:rFonts w:hint="eastAsia" w:ascii="Arial" w:hAnsi="Arial" w:cs="Arial"/>
          <w:bCs/>
          <w:highlight w:val="none"/>
        </w:rPr>
        <w:tab/>
      </w:r>
      <w:r>
        <w:rPr>
          <w:rFonts w:hint="eastAsia" w:ascii="Arial" w:hAnsi="Arial" w:cs="Arial"/>
          <w:bCs/>
          <w:highlight w:val="none"/>
        </w:rPr>
        <w:t>PRD21 CDS: NR CA PC3 FR1 CA_n28A-n78A, Nokia, Nokia Shanghai Bell</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R5-232882</w:t>
      </w:r>
      <w:r>
        <w:rPr>
          <w:rFonts w:hint="eastAsia" w:ascii="Arial" w:hAnsi="Arial" w:cs="Arial"/>
          <w:bCs/>
          <w:highlight w:val="none"/>
        </w:rPr>
        <w:tab/>
      </w:r>
      <w:r>
        <w:rPr>
          <w:rFonts w:hint="eastAsia" w:ascii="Arial" w:hAnsi="Arial" w:cs="Arial"/>
          <w:bCs/>
          <w:highlight w:val="none"/>
        </w:rPr>
        <w:t>PRD21 CDS: CA_n5A-n66A BCS0, no UL CA, PC3., Ericsson</w:t>
      </w:r>
    </w:p>
    <w:p>
      <w:pPr>
        <w:numPr>
          <w:ilvl w:val="0"/>
          <w:numId w:val="6"/>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R5-232883</w:t>
      </w:r>
      <w:r>
        <w:rPr>
          <w:rFonts w:hint="eastAsia" w:ascii="Arial" w:hAnsi="Arial" w:cs="Arial"/>
          <w:bCs/>
          <w:highlight w:val="none"/>
        </w:rPr>
        <w:tab/>
      </w:r>
      <w:r>
        <w:rPr>
          <w:rFonts w:hint="eastAsia" w:ascii="Arial" w:hAnsi="Arial" w:cs="Arial"/>
          <w:bCs/>
          <w:highlight w:val="none"/>
        </w:rPr>
        <w:t>PRD21 CDS: CA_n5A-n66A, no UL CA, BCS1, PC3., Ericsson</w:t>
      </w:r>
    </w:p>
    <w:p>
      <w:pPr>
        <w:overflowPunct/>
        <w:autoSpaceDE/>
        <w:autoSpaceDN/>
        <w:snapToGrid w:val="0"/>
        <w:spacing w:after="0"/>
        <w:textAlignment w:val="auto"/>
        <w:rPr>
          <w:rFonts w:hint="eastAsia" w:ascii="Arial" w:hAnsi="Arial" w:cs="Arial" w:eastAsiaTheme="minorEastAsia"/>
          <w:b/>
          <w:highlight w:val="yellow"/>
        </w:rPr>
      </w:pPr>
    </w:p>
    <w:p>
      <w:pPr>
        <w:overflowPunct/>
        <w:autoSpaceDE/>
        <w:autoSpaceDN/>
        <w:snapToGrid w:val="0"/>
        <w:spacing w:after="0"/>
        <w:textAlignment w:val="auto"/>
        <w:rPr>
          <w:rFonts w:ascii="Arial" w:hAnsi="Arial" w:cs="Arial"/>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R5-232338</w:t>
      </w:r>
      <w:r>
        <w:rPr>
          <w:rFonts w:hint="default" w:ascii="Arial" w:hAnsi="Arial" w:cs="Arial"/>
          <w:bCs/>
          <w:highlight w:val="none"/>
          <w:lang w:val="en-US"/>
        </w:rPr>
        <w:tab/>
      </w:r>
      <w:r>
        <w:rPr>
          <w:rFonts w:hint="default" w:ascii="Arial" w:hAnsi="Arial" w:cs="Arial"/>
          <w:bCs/>
          <w:highlight w:val="none"/>
          <w:lang w:val="en-US"/>
        </w:rPr>
        <w:t>Addition of test frequencies for new EN-DC comb within FR2, KDDI Corporation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R5-232654</w:t>
      </w:r>
      <w:r>
        <w:rPr>
          <w:rFonts w:hint="default" w:ascii="Arial" w:hAnsi="Arial" w:cs="Arial"/>
          <w:bCs/>
          <w:highlight w:val="none"/>
          <w:lang w:val="en-US"/>
        </w:rPr>
        <w:tab/>
      </w:r>
      <w:r>
        <w:rPr>
          <w:rFonts w:hint="default" w:ascii="Arial" w:hAnsi="Arial" w:cs="Arial"/>
          <w:bCs/>
          <w:highlight w:val="none"/>
          <w:lang w:val="en-US"/>
        </w:rPr>
        <w:t>Update of NR inter-band CA configurations in FR1 for CA_n3A-n8A, China Unicom</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R5-232790</w:t>
      </w:r>
      <w:r>
        <w:rPr>
          <w:rFonts w:hint="default" w:ascii="Arial" w:hAnsi="Arial" w:cs="Arial"/>
          <w:bCs/>
          <w:highlight w:val="none"/>
          <w:lang w:val="en-US"/>
        </w:rPr>
        <w:tab/>
      </w:r>
      <w:r>
        <w:rPr>
          <w:rFonts w:hint="default" w:ascii="Arial" w:hAnsi="Arial" w:cs="Arial"/>
          <w:bCs/>
          <w:highlight w:val="none"/>
          <w:lang w:val="en-US"/>
        </w:rPr>
        <w:t>Addition of test frequencies of CA_n39A-n41A config TC 4.3.1.1.2.1, CMCC</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R5-232877</w:t>
      </w:r>
      <w:r>
        <w:rPr>
          <w:rFonts w:hint="default" w:ascii="Arial" w:hAnsi="Arial" w:cs="Arial"/>
          <w:bCs/>
          <w:highlight w:val="none"/>
          <w:lang w:val="en-US"/>
        </w:rPr>
        <w:tab/>
      </w:r>
      <w:r>
        <w:rPr>
          <w:rFonts w:hint="default" w:ascii="Arial" w:hAnsi="Arial" w:cs="Arial"/>
          <w:bCs/>
          <w:highlight w:val="none"/>
          <w:lang w:val="en-US"/>
        </w:rPr>
        <w:t>Addition of new CA configuration CA-n41A-n66A-n71A, Ericsson</w:t>
      </w:r>
    </w:p>
    <w:p>
      <w:pPr>
        <w:numPr>
          <w:ilvl w:val="0"/>
          <w:numId w:val="7"/>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R5-233501</w:t>
      </w:r>
      <w:r>
        <w:rPr>
          <w:rFonts w:hint="default" w:ascii="Arial" w:hAnsi="Arial" w:cs="Arial"/>
          <w:bCs/>
          <w:highlight w:val="none"/>
          <w:lang w:val="en-US"/>
        </w:rPr>
        <w:tab/>
      </w:r>
      <w:r>
        <w:rPr>
          <w:rFonts w:hint="default" w:ascii="Arial" w:hAnsi="Arial" w:cs="Arial"/>
          <w:bCs/>
          <w:highlight w:val="none"/>
          <w:lang w:val="en-US"/>
        </w:rPr>
        <w:t>Addition of test frequency for new 3/4 band EN-DC comb, KT Corp.</w:t>
      </w:r>
    </w:p>
    <w:p>
      <w:pPr>
        <w:overflowPunct/>
        <w:autoSpaceDE/>
        <w:autoSpaceDN/>
        <w:snapToGrid w:val="0"/>
        <w:spacing w:after="0"/>
        <w:textAlignment w:val="auto"/>
        <w:rPr>
          <w:rFonts w:ascii="Arial" w:hAnsi="Arial" w:cs="Arial"/>
          <w:b/>
          <w:highlight w:val="none"/>
        </w:rPr>
      </w:pPr>
    </w:p>
    <w:p>
      <w:pPr>
        <w:overflowPunct/>
        <w:autoSpaceDE/>
        <w:autoSpaceDN/>
        <w:snapToGrid w:val="0"/>
        <w:spacing w:after="0"/>
        <w:textAlignment w:val="auto"/>
        <w:rPr>
          <w:rFonts w:ascii="Arial" w:hAnsi="Arial" w:cs="Arial" w:eastAsiaTheme="minorEastAsia"/>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08</w:t>
      </w:r>
      <w:r>
        <w:rPr>
          <w:rFonts w:ascii="Arial" w:hAnsi="Arial" w:cs="Arial"/>
          <w:b/>
          <w:highlight w:val="none"/>
        </w:rPr>
        <w:t>-</w:t>
      </w:r>
      <w:r>
        <w:rPr>
          <w:rFonts w:hint="eastAsia" w:ascii="Arial" w:hAnsi="Arial" w:cs="Arial" w:eastAsiaTheme="minorEastAsia"/>
          <w:b/>
          <w:highlight w:val="none"/>
        </w:rPr>
        <w:t>2</w:t>
      </w:r>
      <w:r>
        <w:rPr>
          <w:rFonts w:ascii="Arial" w:hAnsi="Arial"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R5-232108</w:t>
      </w:r>
      <w:r>
        <w:rPr>
          <w:rFonts w:hint="default" w:ascii="Arial" w:hAnsi="Arial" w:cs="Arial"/>
          <w:bCs/>
          <w:highlight w:val="none"/>
          <w:lang w:val="en-US"/>
        </w:rPr>
        <w:tab/>
      </w:r>
      <w:r>
        <w:rPr>
          <w:rFonts w:hint="eastAsia" w:ascii="Arial" w:hAnsi="Arial" w:cs="Arial"/>
          <w:bCs/>
          <w:highlight w:val="none"/>
        </w:rPr>
        <w:t>Introduction of CA_n28A-n78A for physical layer baseline implementation capabilities</w:t>
      </w:r>
      <w:r>
        <w:rPr>
          <w:rFonts w:hint="default" w:ascii="Arial" w:hAnsi="Arial" w:cs="Arial"/>
          <w:bCs/>
          <w:highlight w:val="none"/>
          <w:lang w:val="en-US"/>
        </w:rPr>
        <w:t>, Nokia, Nokia Shanghai Bell</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R5-232363</w:t>
      </w:r>
      <w:r>
        <w:rPr>
          <w:rFonts w:hint="default" w:ascii="Arial" w:hAnsi="Arial" w:cs="Arial"/>
          <w:bCs/>
          <w:highlight w:val="none"/>
          <w:lang w:val="en-US"/>
        </w:rPr>
        <w:tab/>
      </w:r>
      <w:r>
        <w:rPr>
          <w:rFonts w:hint="eastAsia" w:ascii="Arial" w:hAnsi="Arial" w:cs="Arial"/>
          <w:bCs/>
          <w:highlight w:val="none"/>
        </w:rPr>
        <w:t>Addition of UE capability for new EN-DC comb within FR2</w:t>
      </w:r>
      <w:r>
        <w:rPr>
          <w:rFonts w:hint="default" w:ascii="Arial" w:hAnsi="Arial" w:cs="Arial"/>
          <w:bCs/>
          <w:highlight w:val="none"/>
          <w:lang w:val="en-US"/>
        </w:rPr>
        <w:t>, KDDI Corporation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R5-232624</w:t>
      </w:r>
      <w:r>
        <w:rPr>
          <w:rFonts w:hint="default" w:ascii="Arial" w:hAnsi="Arial" w:cs="Arial"/>
          <w:bCs/>
          <w:highlight w:val="none"/>
          <w:lang w:val="en-US"/>
        </w:rPr>
        <w:tab/>
      </w:r>
      <w:r>
        <w:rPr>
          <w:rFonts w:hint="eastAsia" w:ascii="Arial" w:hAnsi="Arial" w:cs="Arial"/>
          <w:bCs/>
          <w:highlight w:val="none"/>
        </w:rPr>
        <w:t>Update 38.508-2 for CA_n2A-n5A and CA_n2A-n48A</w:t>
      </w:r>
      <w:r>
        <w:rPr>
          <w:rFonts w:hint="default" w:ascii="Arial" w:hAnsi="Arial" w:cs="Arial"/>
          <w:bCs/>
          <w:highlight w:val="none"/>
          <w:lang w:val="en-US"/>
        </w:rPr>
        <w:t>, Qualcomm India Pvt Ltd</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R5-232655</w:t>
      </w:r>
      <w:r>
        <w:rPr>
          <w:rFonts w:hint="default" w:ascii="Arial" w:hAnsi="Arial" w:cs="Arial"/>
          <w:bCs/>
          <w:highlight w:val="none"/>
          <w:lang w:val="en-US"/>
        </w:rPr>
        <w:tab/>
      </w:r>
      <w:r>
        <w:rPr>
          <w:rFonts w:hint="eastAsia" w:ascii="Arial" w:hAnsi="Arial" w:cs="Arial"/>
          <w:bCs/>
          <w:highlight w:val="none"/>
        </w:rPr>
        <w:t>Update of ICS baseline for CA_n3A-n8A</w:t>
      </w:r>
      <w:r>
        <w:rPr>
          <w:rFonts w:hint="default" w:ascii="Arial" w:hAnsi="Arial" w:cs="Arial"/>
          <w:bCs/>
          <w:highlight w:val="none"/>
          <w:lang w:val="en-US"/>
        </w:rPr>
        <w:t>, China Unicom</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R5-232793</w:t>
      </w:r>
      <w:r>
        <w:rPr>
          <w:rFonts w:hint="default" w:ascii="Arial" w:hAnsi="Arial" w:cs="Arial"/>
          <w:bCs/>
          <w:highlight w:val="none"/>
          <w:lang w:val="en-US"/>
        </w:rPr>
        <w:tab/>
      </w:r>
      <w:r>
        <w:rPr>
          <w:rFonts w:hint="eastAsia" w:ascii="Arial" w:hAnsi="Arial" w:cs="Arial"/>
          <w:bCs/>
          <w:highlight w:val="none"/>
        </w:rPr>
        <w:t>Addition of CA_n39A-n41A RF Baseline Implementation Capabilities</w:t>
      </w:r>
      <w:r>
        <w:rPr>
          <w:rFonts w:hint="default" w:ascii="Arial" w:hAnsi="Arial" w:cs="Arial"/>
          <w:bCs/>
          <w:highlight w:val="none"/>
          <w:lang w:val="en-US"/>
        </w:rPr>
        <w:t>, CMCC</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R5-232875</w:t>
      </w:r>
      <w:r>
        <w:rPr>
          <w:rFonts w:hint="default" w:ascii="Arial" w:hAnsi="Arial" w:cs="Arial"/>
          <w:bCs/>
          <w:highlight w:val="none"/>
          <w:lang w:val="en-US"/>
        </w:rPr>
        <w:tab/>
      </w:r>
      <w:r>
        <w:rPr>
          <w:rFonts w:hint="eastAsia" w:ascii="Arial" w:hAnsi="Arial" w:cs="Arial"/>
          <w:bCs/>
          <w:highlight w:val="none"/>
        </w:rPr>
        <w:t>Introduction of CA_n5A-n66A and CA_n41A-n66A-n71A.</w:t>
      </w:r>
      <w:r>
        <w:rPr>
          <w:rFonts w:hint="default" w:ascii="Arial" w:hAnsi="Arial" w:cs="Arial"/>
          <w:bCs/>
          <w:highlight w:val="none"/>
          <w:lang w:val="en-US"/>
        </w:rPr>
        <w:t>, Ericsson</w:t>
      </w:r>
    </w:p>
    <w:p>
      <w:pPr>
        <w:numPr>
          <w:ilvl w:val="0"/>
          <w:numId w:val="8"/>
        </w:numPr>
        <w:tabs>
          <w:tab w:val="left" w:pos="567"/>
        </w:tabs>
        <w:overflowPunct/>
        <w:autoSpaceDE/>
        <w:autoSpaceDN/>
        <w:snapToGrid w:val="0"/>
        <w:spacing w:after="0"/>
        <w:textAlignment w:val="auto"/>
        <w:rPr>
          <w:rFonts w:ascii="Arial" w:hAnsi="Arial" w:cs="Arial"/>
          <w:bCs/>
          <w:highlight w:val="none"/>
        </w:rPr>
      </w:pPr>
      <w:r>
        <w:rPr>
          <w:rFonts w:hint="eastAsia" w:ascii="Arial" w:hAnsi="Arial" w:cs="Arial"/>
          <w:bCs/>
          <w:highlight w:val="none"/>
        </w:rPr>
        <w:t>R5-233503</w:t>
      </w:r>
      <w:r>
        <w:rPr>
          <w:rFonts w:hint="default" w:ascii="Arial" w:hAnsi="Arial" w:cs="Arial"/>
          <w:bCs/>
          <w:highlight w:val="none"/>
          <w:lang w:val="en-US"/>
        </w:rPr>
        <w:tab/>
      </w:r>
      <w:r>
        <w:rPr>
          <w:rFonts w:hint="eastAsia" w:ascii="Arial" w:hAnsi="Arial" w:cs="Arial"/>
          <w:bCs/>
          <w:highlight w:val="none"/>
        </w:rPr>
        <w:t>Update of Table A.4.3.2B.2.3.2-2 and A.4.3.2B.2.3.3-2 for new 3/4 band EN-DC comb</w:t>
      </w:r>
      <w:r>
        <w:rPr>
          <w:rFonts w:hint="default" w:ascii="Arial" w:hAnsi="Arial" w:cs="Arial"/>
          <w:bCs/>
          <w:highlight w:val="none"/>
          <w:lang w:val="en-US"/>
        </w:rPr>
        <w:t>, KT Corp.</w:t>
      </w:r>
    </w:p>
    <w:p>
      <w:pPr>
        <w:overflowPunct/>
        <w:autoSpaceDE/>
        <w:autoSpaceDN/>
        <w:snapToGrid w:val="0"/>
        <w:spacing w:after="0"/>
        <w:textAlignment w:val="auto"/>
        <w:rPr>
          <w:rFonts w:hint="eastAsia" w:ascii="Arial" w:hAnsi="Arial" w:cs="Arial" w:eastAsiaTheme="minorEastAsia"/>
          <w:bCs/>
          <w:highlight w:val="yellow"/>
        </w:rPr>
      </w:pPr>
    </w:p>
    <w:p>
      <w:pPr>
        <w:tabs>
          <w:tab w:val="left" w:pos="567"/>
        </w:tabs>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1</w:t>
      </w:r>
      <w:r>
        <w:rPr>
          <w:rFonts w:ascii="Arial" w:hAnsi="Arial" w:cs="Arial"/>
          <w:b/>
          <w:highlight w:val="none"/>
        </w:rPr>
        <w:t xml:space="preserve"> CRs</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R5-232109</w:t>
      </w:r>
      <w:r>
        <w:rPr>
          <w:rFonts w:hint="eastAsia" w:ascii="Arial" w:hAnsi="Arial" w:cs="Arial"/>
          <w:bCs/>
          <w:highlight w:val="none"/>
        </w:rPr>
        <w:tab/>
      </w:r>
      <w:r>
        <w:rPr>
          <w:rFonts w:hint="eastAsia" w:ascii="Arial" w:hAnsi="Arial" w:cs="Arial"/>
          <w:bCs/>
          <w:highlight w:val="none"/>
        </w:rPr>
        <w:t>Introduction of Output power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R5-233510</w:t>
      </w:r>
      <w:r>
        <w:rPr>
          <w:rFonts w:hint="eastAsia" w:ascii="Arial" w:hAnsi="Arial" w:cs="Arial"/>
          <w:bCs/>
          <w:highlight w:val="none"/>
        </w:rPr>
        <w:tab/>
      </w:r>
      <w:r>
        <w:rPr>
          <w:rFonts w:hint="eastAsia" w:ascii="Arial" w:hAnsi="Arial" w:cs="Arial"/>
          <w:bCs/>
          <w:highlight w:val="none"/>
        </w:rPr>
        <w:t>Introduction of additional maximum output power reduction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R5-232111</w:t>
      </w:r>
      <w:r>
        <w:rPr>
          <w:rFonts w:hint="eastAsia" w:ascii="Arial" w:hAnsi="Arial" w:cs="Arial"/>
          <w:bCs/>
          <w:highlight w:val="none"/>
        </w:rPr>
        <w:tab/>
      </w:r>
      <w:r>
        <w:rPr>
          <w:rFonts w:hint="eastAsia" w:ascii="Arial" w:hAnsi="Arial" w:cs="Arial"/>
          <w:bCs/>
          <w:highlight w:val="none"/>
        </w:rPr>
        <w:t>Introduction of General spurious emissions test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R5-233511</w:t>
      </w:r>
      <w:r>
        <w:rPr>
          <w:rFonts w:hint="eastAsia" w:ascii="Arial" w:hAnsi="Arial" w:cs="Arial"/>
          <w:bCs/>
          <w:highlight w:val="none"/>
        </w:rPr>
        <w:tab/>
      </w:r>
      <w:r>
        <w:rPr>
          <w:rFonts w:hint="eastAsia" w:ascii="Arial" w:hAnsi="Arial" w:cs="Arial"/>
          <w:bCs/>
          <w:highlight w:val="none"/>
        </w:rPr>
        <w:t>Introduction of Spurious emissions for UE co-existence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R5-232113</w:t>
      </w:r>
      <w:r>
        <w:rPr>
          <w:rFonts w:hint="eastAsia" w:ascii="Arial" w:hAnsi="Arial" w:cs="Arial"/>
          <w:bCs/>
          <w:highlight w:val="none"/>
        </w:rPr>
        <w:tab/>
      </w:r>
      <w:r>
        <w:rPr>
          <w:rFonts w:hint="eastAsia" w:ascii="Arial" w:hAnsi="Arial" w:cs="Arial"/>
          <w:bCs/>
          <w:highlight w:val="none"/>
        </w:rPr>
        <w:t>Introduction of Spurious emissions for UE co-existence test requirements for CA_n28A-n78A</w:t>
      </w:r>
      <w:r>
        <w:rPr>
          <w:rFonts w:hint="default" w:ascii="Arial" w:hAnsi="Arial" w:cs="Arial"/>
          <w:bCs/>
          <w:highlight w:val="none"/>
          <w:lang w:val="en-US"/>
        </w:rPr>
        <w:t>, Nokia, Nokia Shanghai Bell</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R5-232241</w:t>
      </w:r>
      <w:r>
        <w:rPr>
          <w:rFonts w:hint="eastAsia" w:ascii="Arial" w:hAnsi="Arial" w:cs="Arial"/>
          <w:bCs/>
          <w:highlight w:val="none"/>
        </w:rPr>
        <w:tab/>
      </w:r>
      <w:r>
        <w:rPr>
          <w:rFonts w:hint="eastAsia" w:ascii="Arial" w:hAnsi="Arial" w:cs="Arial"/>
          <w:bCs/>
          <w:highlight w:val="none"/>
        </w:rPr>
        <w:t>Update general spurious emissions for CA_n2A-n77A, CA_n5A-n77A, and CA_n66A-n77A</w:t>
      </w:r>
      <w:r>
        <w:rPr>
          <w:rFonts w:hint="default" w:ascii="Arial" w:hAnsi="Arial" w:cs="Arial"/>
          <w:bCs/>
          <w:highlight w:val="none"/>
          <w:lang w:val="en-US"/>
        </w:rPr>
        <w:t>, Verizon</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R5-232413</w:t>
      </w:r>
      <w:r>
        <w:rPr>
          <w:rFonts w:hint="eastAsia" w:ascii="Arial" w:hAnsi="Arial" w:cs="Arial"/>
          <w:bCs/>
          <w:highlight w:val="none"/>
        </w:rPr>
        <w:tab/>
      </w:r>
      <w:r>
        <w:rPr>
          <w:rFonts w:hint="eastAsia" w:ascii="Arial" w:hAnsi="Arial" w:cs="Arial"/>
          <w:bCs/>
          <w:highlight w:val="none"/>
        </w:rPr>
        <w:t>Addition of general spurious emissions for CA_n1A-n3A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R5-232414</w:t>
      </w:r>
      <w:r>
        <w:rPr>
          <w:rFonts w:hint="eastAsia" w:ascii="Arial" w:hAnsi="Arial" w:cs="Arial"/>
          <w:bCs/>
          <w:highlight w:val="none"/>
        </w:rPr>
        <w:tab/>
      </w:r>
      <w:r>
        <w:rPr>
          <w:rFonts w:hint="eastAsia" w:ascii="Arial" w:hAnsi="Arial" w:cs="Arial"/>
          <w:bCs/>
          <w:highlight w:val="none"/>
        </w:rPr>
        <w:t>Addition of Spurious emissions for UE co-existence for CA_n1A-n3A</w:t>
      </w:r>
      <w:r>
        <w:rPr>
          <w:rFonts w:hint="default" w:ascii="Arial" w:hAnsi="Arial" w:cs="Arial"/>
          <w:bCs/>
          <w:highlight w:val="none"/>
          <w:lang w:val="en-US"/>
        </w:rPr>
        <w:t>, China Unicom</w:t>
      </w:r>
    </w:p>
    <w:p>
      <w:pPr>
        <w:numPr>
          <w:ilvl w:val="0"/>
          <w:numId w:val="9"/>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R5-232625</w:t>
      </w:r>
      <w:r>
        <w:rPr>
          <w:rFonts w:hint="eastAsia" w:ascii="Arial" w:hAnsi="Arial" w:cs="Arial"/>
          <w:bCs/>
          <w:highlight w:val="none"/>
        </w:rPr>
        <w:tab/>
      </w:r>
      <w:r>
        <w:rPr>
          <w:rFonts w:hint="eastAsia" w:ascii="Arial" w:hAnsi="Arial" w:cs="Arial"/>
          <w:bCs/>
          <w:highlight w:val="none"/>
        </w:rPr>
        <w:t>Update 6.2A.4.0.2.3 for CA_n2A-n5A and CA_n2A-n48A</w:t>
      </w:r>
      <w:r>
        <w:rPr>
          <w:rFonts w:hint="default" w:ascii="Arial" w:hAnsi="Arial" w:cs="Arial"/>
          <w:bCs/>
          <w:highlight w:val="none"/>
          <w:lang w:val="en-US"/>
        </w:rPr>
        <w:t>, Qualcomm India Pvt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rPr>
        <w:t>R5-232791</w:t>
      </w:r>
      <w:r>
        <w:rPr>
          <w:rFonts w:hint="eastAsia" w:ascii="Arial" w:hAnsi="Arial" w:cs="Arial"/>
          <w:bCs/>
          <w:highlight w:val="none"/>
        </w:rPr>
        <w:tab/>
      </w:r>
      <w:r>
        <w:rPr>
          <w:rFonts w:hint="eastAsia" w:ascii="Arial" w:hAnsi="Arial" w:cs="Arial"/>
          <w:bCs/>
          <w:highlight w:val="none"/>
        </w:rPr>
        <w:t>Update of delta TIB,c for CA_n39A-n41A</w:t>
      </w:r>
      <w:r>
        <w:rPr>
          <w:rFonts w:hint="default" w:ascii="Arial" w:hAnsi="Arial" w:cs="Arial"/>
          <w:bCs/>
          <w:highlight w:val="none"/>
          <w:lang w:val="en-US"/>
        </w:rPr>
        <w:t>,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R5-233532</w:t>
      </w:r>
      <w:r>
        <w:rPr>
          <w:rFonts w:hint="eastAsia" w:ascii="Arial" w:hAnsi="Arial" w:cs="Arial"/>
          <w:bCs/>
          <w:highlight w:val="none"/>
        </w:rPr>
        <w:tab/>
      </w:r>
      <w:r>
        <w:rPr>
          <w:rFonts w:hint="eastAsia" w:ascii="Arial" w:hAnsi="Arial" w:cs="Arial"/>
          <w:bCs/>
          <w:highlight w:val="none"/>
        </w:rPr>
        <w:t>Correction for CA_n66A-n71A</w:t>
      </w:r>
      <w:r>
        <w:rPr>
          <w:rFonts w:hint="default" w:ascii="Arial" w:hAnsi="Arial" w:cs="Arial"/>
          <w:bCs/>
          <w:highlight w:val="none"/>
          <w:lang w:val="en-US"/>
        </w:rPr>
        <w:t>, ROHDE &amp; SCHWARZ</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R5-233705</w:t>
      </w:r>
      <w:r>
        <w:rPr>
          <w:rFonts w:hint="eastAsia" w:ascii="Arial" w:hAnsi="Arial" w:cs="Arial"/>
          <w:bCs/>
          <w:highlight w:val="none"/>
        </w:rPr>
        <w:tab/>
      </w:r>
      <w:r>
        <w:rPr>
          <w:rFonts w:hint="eastAsia" w:ascii="Arial" w:hAnsi="Arial" w:cs="Arial"/>
          <w:bCs/>
          <w:highlight w:val="none"/>
        </w:rPr>
        <w:t>Update minimum requirement table for reference sensitivity exceptions and uplink/downlink configurations due to harmonic mixing from a PC3 aggressor</w:t>
      </w:r>
      <w:r>
        <w:rPr>
          <w:rFonts w:hint="default" w:ascii="Arial" w:hAnsi="Arial" w:cs="Arial"/>
          <w:bCs/>
          <w:highlight w:val="none"/>
          <w:lang w:val="en-US"/>
        </w:rPr>
        <w:t>, Verizon, Qualcomm,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R5-232243</w:t>
      </w:r>
      <w:r>
        <w:rPr>
          <w:rFonts w:hint="eastAsia" w:ascii="Arial" w:hAnsi="Arial" w:cs="Arial"/>
          <w:bCs/>
          <w:highlight w:val="none"/>
        </w:rPr>
        <w:tab/>
      </w:r>
      <w:r>
        <w:rPr>
          <w:rFonts w:hint="eastAsia" w:ascii="Arial" w:hAnsi="Arial" w:cs="Arial"/>
          <w:bCs/>
          <w:highlight w:val="none"/>
        </w:rPr>
        <w:t>Update inter-band NR CA PC3 reference sensitivity test configuration and test requirement tables</w:t>
      </w:r>
      <w:r>
        <w:rPr>
          <w:rFonts w:hint="default" w:ascii="Arial" w:hAnsi="Arial" w:cs="Arial"/>
          <w:bCs/>
          <w:highlight w:val="none"/>
          <w:lang w:val="en-US"/>
        </w:rPr>
        <w:t>, Verizon Switzerland AG, Qualcomm,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R5-232276</w:t>
      </w:r>
      <w:r>
        <w:rPr>
          <w:rFonts w:hint="eastAsia" w:ascii="Arial" w:hAnsi="Arial" w:cs="Arial"/>
          <w:bCs/>
          <w:highlight w:val="none"/>
        </w:rPr>
        <w:tab/>
      </w:r>
      <w:r>
        <w:rPr>
          <w:rFonts w:hint="eastAsia" w:ascii="Arial" w:hAnsi="Arial" w:cs="Arial"/>
          <w:bCs/>
          <w:highlight w:val="none"/>
        </w:rPr>
        <w:t>Addition of refsence sensitivity for n28A-n77A</w:t>
      </w:r>
      <w:r>
        <w:rPr>
          <w:rFonts w:hint="default" w:ascii="Arial" w:hAnsi="Arial" w:cs="Arial"/>
          <w:bCs/>
          <w:highlight w:val="none"/>
          <w:lang w:val="en-US"/>
        </w:rPr>
        <w:t>, KDDI Corporation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R5-233533</w:t>
      </w:r>
      <w:r>
        <w:rPr>
          <w:rFonts w:hint="eastAsia" w:ascii="Arial" w:hAnsi="Arial" w:cs="Arial"/>
          <w:bCs/>
          <w:highlight w:val="none"/>
        </w:rPr>
        <w:tab/>
      </w:r>
      <w:r>
        <w:rPr>
          <w:rFonts w:hint="eastAsia" w:ascii="Arial" w:hAnsi="Arial" w:cs="Arial"/>
          <w:bCs/>
          <w:highlight w:val="none"/>
        </w:rPr>
        <w:t>Update for CA_n2A-n48A and CA_n2A-n77A combos in section 7.3A.0</w:t>
      </w:r>
      <w:r>
        <w:rPr>
          <w:rFonts w:hint="default" w:ascii="Arial" w:hAnsi="Arial" w:cs="Arial"/>
          <w:bCs/>
          <w:highlight w:val="none"/>
          <w:lang w:val="en-US"/>
        </w:rPr>
        <w:t>,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R5-232341</w:t>
      </w:r>
      <w:r>
        <w:rPr>
          <w:rFonts w:hint="eastAsia" w:ascii="Arial" w:hAnsi="Arial" w:cs="Arial"/>
          <w:bCs/>
          <w:highlight w:val="none"/>
        </w:rPr>
        <w:tab/>
      </w:r>
      <w:r>
        <w:rPr>
          <w:rFonts w:hint="eastAsia" w:ascii="Arial" w:hAnsi="Arial" w:cs="Arial"/>
          <w:bCs/>
          <w:highlight w:val="none"/>
        </w:rPr>
        <w:t>Corrections for certain FR1 combos in section 7.3A.1_1</w:t>
      </w:r>
      <w:r>
        <w:rPr>
          <w:rFonts w:hint="default" w:ascii="Arial" w:hAnsi="Arial" w:cs="Arial"/>
          <w:bCs/>
          <w:highlight w:val="none"/>
          <w:lang w:val="en-US"/>
        </w:rPr>
        <w:t>, China Unicom, Keysight Technologies UK Ltd</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R5-232411</w:t>
      </w:r>
      <w:r>
        <w:rPr>
          <w:rFonts w:hint="eastAsia" w:ascii="Arial" w:hAnsi="Arial" w:cs="Arial"/>
          <w:bCs/>
          <w:highlight w:val="none"/>
        </w:rPr>
        <w:tab/>
      </w:r>
      <w:r>
        <w:rPr>
          <w:rFonts w:hint="eastAsia" w:ascii="Arial" w:hAnsi="Arial" w:cs="Arial"/>
          <w:bCs/>
          <w:highlight w:val="none"/>
        </w:rPr>
        <w:t>Addition of 7.3A.1 for CA_n1A-n8A and CA_n3A-n8A</w:t>
      </w:r>
      <w:r>
        <w:rPr>
          <w:rFonts w:hint="default" w:ascii="Arial" w:hAnsi="Arial" w:cs="Arial"/>
          <w:bCs/>
          <w:highlight w:val="none"/>
          <w:lang w:val="en-US"/>
        </w:rPr>
        <w:t>, CU Digital Technology</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R5-233706</w:t>
      </w:r>
      <w:r>
        <w:rPr>
          <w:rFonts w:hint="eastAsia" w:ascii="Arial" w:hAnsi="Arial" w:cs="Arial"/>
          <w:bCs/>
          <w:highlight w:val="none"/>
        </w:rPr>
        <w:tab/>
      </w:r>
      <w:r>
        <w:rPr>
          <w:rFonts w:hint="eastAsia" w:ascii="Arial" w:hAnsi="Arial" w:cs="Arial"/>
          <w:bCs/>
          <w:highlight w:val="none"/>
        </w:rPr>
        <w:t>Correction UL RB configuration for CA_n1-n3-n78</w:t>
      </w:r>
      <w:r>
        <w:rPr>
          <w:rFonts w:hint="default" w:ascii="Arial" w:hAnsi="Arial" w:cs="Arial"/>
          <w:bCs/>
          <w:highlight w:val="none"/>
          <w:lang w:val="en-US"/>
        </w:rPr>
        <w:t>, MediaTek Beijing Inc.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R5-232792</w:t>
      </w:r>
      <w:r>
        <w:rPr>
          <w:rFonts w:hint="eastAsia" w:ascii="Arial" w:hAnsi="Arial" w:cs="Arial"/>
          <w:bCs/>
          <w:highlight w:val="none"/>
        </w:rPr>
        <w:tab/>
      </w:r>
      <w:r>
        <w:rPr>
          <w:rFonts w:hint="eastAsia" w:ascii="Arial" w:hAnsi="Arial" w:cs="Arial"/>
          <w:bCs/>
          <w:highlight w:val="none"/>
        </w:rPr>
        <w:t>Update of delta RIB,c for CA_n39A-n41A</w:t>
      </w:r>
      <w:r>
        <w:rPr>
          <w:rFonts w:hint="default" w:ascii="Arial" w:hAnsi="Arial" w:cs="Arial"/>
          <w:bCs/>
          <w:highlight w:val="none"/>
          <w:lang w:val="en-US"/>
        </w:rPr>
        <w:t>, China Unicom, CMCC</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R5-233534</w:t>
      </w:r>
      <w:r>
        <w:rPr>
          <w:rFonts w:hint="eastAsia" w:ascii="Arial" w:hAnsi="Arial" w:cs="Arial"/>
          <w:bCs/>
          <w:highlight w:val="none"/>
        </w:rPr>
        <w:tab/>
      </w:r>
      <w:r>
        <w:rPr>
          <w:rFonts w:hint="eastAsia" w:ascii="Arial" w:hAnsi="Arial" w:cs="Arial"/>
          <w:bCs/>
          <w:highlight w:val="none"/>
        </w:rPr>
        <w:t>Editorial changes in Table 7.3A.1.5-1</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R5-232874</w:t>
      </w:r>
      <w:r>
        <w:rPr>
          <w:rFonts w:hint="eastAsia" w:ascii="Arial" w:hAnsi="Arial" w:cs="Arial"/>
          <w:bCs/>
          <w:highlight w:val="none"/>
        </w:rPr>
        <w:tab/>
      </w:r>
      <w:r>
        <w:rPr>
          <w:rFonts w:hint="eastAsia" w:ascii="Arial" w:hAnsi="Arial" w:cs="Arial"/>
          <w:bCs/>
          <w:highlight w:val="none"/>
        </w:rPr>
        <w:t>Correction of delta RIB,c , Core spec alignment</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R5-232879</w:t>
      </w:r>
      <w:r>
        <w:rPr>
          <w:rFonts w:hint="eastAsia" w:ascii="Arial" w:hAnsi="Arial" w:cs="Arial"/>
          <w:bCs/>
          <w:highlight w:val="none"/>
        </w:rPr>
        <w:tab/>
      </w:r>
      <w:r>
        <w:rPr>
          <w:rFonts w:hint="eastAsia" w:ascii="Arial" w:hAnsi="Arial" w:cs="Arial"/>
          <w:bCs/>
          <w:highlight w:val="none"/>
        </w:rPr>
        <w:t>Addition of Delta RIB,c for CA_n41A-n66A-n71A</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R5-232880</w:t>
      </w:r>
      <w:r>
        <w:rPr>
          <w:rFonts w:hint="eastAsia" w:ascii="Arial" w:hAnsi="Arial" w:cs="Arial"/>
          <w:bCs/>
          <w:highlight w:val="none"/>
        </w:rPr>
        <w:tab/>
      </w:r>
      <w:r>
        <w:rPr>
          <w:rFonts w:hint="eastAsia" w:ascii="Arial" w:hAnsi="Arial" w:cs="Arial"/>
          <w:bCs/>
          <w:highlight w:val="none"/>
        </w:rPr>
        <w:t>Addition of CA_n41A-n66A-n71A in Table 7.3A.2.5-1</w:t>
      </w:r>
      <w:r>
        <w:rPr>
          <w:rFonts w:hint="default" w:ascii="Arial" w:hAnsi="Arial" w:cs="Arial"/>
          <w:bCs/>
          <w:highlight w:val="none"/>
          <w:lang w:val="en-US"/>
        </w:rPr>
        <w:t>, China Unicom, Ericsson</w:t>
      </w:r>
    </w:p>
    <w:p>
      <w:pPr>
        <w:numPr>
          <w:ilvl w:val="0"/>
          <w:numId w:val="9"/>
        </w:numPr>
        <w:tabs>
          <w:tab w:val="left" w:pos="567"/>
        </w:tabs>
        <w:overflowPunct/>
        <w:autoSpaceDE/>
        <w:autoSpaceDN/>
        <w:snapToGrid w:val="0"/>
        <w:spacing w:after="0"/>
        <w:textAlignment w:val="auto"/>
        <w:rPr>
          <w:rFonts w:hint="eastAsia" w:ascii="Arial" w:hAnsi="Arial" w:cs="Arial"/>
          <w:bCs/>
          <w:highlight w:val="none"/>
          <w:lang w:val="en-US"/>
        </w:rPr>
      </w:pPr>
      <w:r>
        <w:rPr>
          <w:rFonts w:hint="eastAsia" w:ascii="Arial" w:hAnsi="Arial" w:cs="Arial"/>
          <w:bCs/>
          <w:highlight w:val="none"/>
          <w:lang w:val="en-US"/>
        </w:rPr>
        <w:t>R5-233555</w:t>
      </w:r>
      <w:r>
        <w:rPr>
          <w:rFonts w:hint="eastAsia" w:ascii="Arial" w:hAnsi="Arial" w:cs="Arial"/>
          <w:bCs/>
          <w:highlight w:val="none"/>
        </w:rPr>
        <w:tab/>
      </w:r>
      <w:r>
        <w:rPr>
          <w:rFonts w:hint="eastAsia" w:ascii="Arial" w:hAnsi="Arial" w:cs="Arial"/>
          <w:bCs/>
          <w:highlight w:val="none"/>
        </w:rPr>
        <w:t>General updates of clause 5 for R16 CA configurations</w:t>
      </w:r>
      <w:r>
        <w:rPr>
          <w:rFonts w:hint="default" w:ascii="Arial" w:hAnsi="Arial" w:cs="Arial"/>
          <w:bCs/>
          <w:highlight w:val="none"/>
          <w:lang w:val="en-US"/>
        </w:rPr>
        <w:t>, China Unicom, CU Digital Technology, Ericsson, CMCC, ROHDE &amp; SCHWARZ</w:t>
      </w:r>
    </w:p>
    <w:p>
      <w:pPr>
        <w:overflowPunct/>
        <w:autoSpaceDE/>
        <w:autoSpaceDN/>
        <w:snapToGrid w:val="0"/>
        <w:spacing w:after="0"/>
        <w:textAlignment w:val="auto"/>
        <w:rPr>
          <w:rFonts w:ascii="Arial" w:hAnsi="Arial" w:cs="Arial" w:eastAsiaTheme="minorEastAsia"/>
          <w:bCs/>
          <w:highlight w:val="yellow"/>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21</w:t>
      </w:r>
      <w:r>
        <w:rPr>
          <w:rFonts w:ascii="Arial" w:hAnsi="Arial" w:cs="Arial"/>
          <w:b/>
          <w:highlight w:val="none"/>
        </w:rPr>
        <w:t>-</w:t>
      </w:r>
      <w:r>
        <w:rPr>
          <w:rFonts w:hint="eastAsia" w:ascii="Arial" w:hAnsi="Arial" w:cs="Arial" w:eastAsiaTheme="minorEastAsia"/>
          <w:b/>
          <w:highlight w:val="none"/>
        </w:rPr>
        <w:t>3</w:t>
      </w:r>
      <w:r>
        <w:rPr>
          <w:rFonts w:ascii="Arial" w:hAnsi="Arial" w:cs="Arial"/>
          <w:b/>
          <w:highlight w:val="none"/>
        </w:rPr>
        <w:t xml:space="preserve"> CRs</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R5-233563</w:t>
      </w:r>
      <w:r>
        <w:rPr>
          <w:rFonts w:hint="eastAsia" w:ascii="Arial" w:hAnsi="Arial" w:cs="Arial"/>
          <w:bCs/>
          <w:highlight w:val="none"/>
        </w:rPr>
        <w:tab/>
      </w:r>
      <w:r>
        <w:rPr>
          <w:rFonts w:hint="eastAsia" w:ascii="Arial" w:hAnsi="Arial" w:cs="Arial"/>
          <w:bCs/>
          <w:highlight w:val="none"/>
        </w:rPr>
        <w:t>Addition of new CADC MOP TC</w:t>
      </w:r>
      <w:r>
        <w:rPr>
          <w:rFonts w:hint="default" w:ascii="Arial" w:hAnsi="Arial" w:cs="Arial"/>
          <w:bCs/>
          <w:highlight w:val="none"/>
          <w:lang w:val="en-US"/>
        </w:rPr>
        <w:t xml:space="preserve">, </w:t>
      </w:r>
      <w:r>
        <w:rPr>
          <w:rFonts w:hint="eastAsia" w:ascii="Arial" w:hAnsi="Arial" w:cs="Arial"/>
          <w:bCs/>
          <w:highlight w:val="none"/>
        </w:rPr>
        <w:t>Intertek, CMCC</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R5-233564</w:t>
      </w:r>
      <w:r>
        <w:rPr>
          <w:rFonts w:hint="eastAsia" w:ascii="Arial" w:hAnsi="Arial" w:cs="Arial"/>
          <w:bCs/>
          <w:highlight w:val="none"/>
        </w:rPr>
        <w:tab/>
      </w:r>
      <w:r>
        <w:rPr>
          <w:rFonts w:hint="eastAsia" w:ascii="Arial" w:hAnsi="Arial" w:cs="Arial"/>
          <w:bCs/>
          <w:highlight w:val="none"/>
        </w:rPr>
        <w:t>Addition of new CADC TC 6.3B.3.4_1.1, Intertek</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R5-232609</w:t>
      </w:r>
      <w:r>
        <w:rPr>
          <w:rFonts w:hint="eastAsia" w:ascii="Arial" w:hAnsi="Arial" w:cs="Arial"/>
          <w:bCs/>
          <w:highlight w:val="none"/>
        </w:rPr>
        <w:tab/>
      </w:r>
      <w:r>
        <w:rPr>
          <w:rFonts w:hint="eastAsia" w:ascii="Arial" w:hAnsi="Arial" w:cs="Arial"/>
          <w:bCs/>
          <w:highlight w:val="none"/>
        </w:rPr>
        <w:t>Update Ref sense for DC_7A_n66A DC_7A_n71A DC_7A_n77A and DC_66A_n25A</w:t>
      </w:r>
      <w:r>
        <w:rPr>
          <w:rFonts w:hint="default" w:ascii="Arial" w:hAnsi="Arial" w:cs="Arial"/>
          <w:bCs/>
          <w:highlight w:val="none"/>
          <w:lang w:val="en-US"/>
        </w:rPr>
        <w:t xml:space="preserve">, </w:t>
      </w:r>
      <w:r>
        <w:rPr>
          <w:rFonts w:hint="eastAsia" w:ascii="Arial" w:hAnsi="Arial" w:cs="Arial"/>
          <w:bCs/>
          <w:highlight w:val="none"/>
        </w:rPr>
        <w:t>KTL, Qualcomm India Pvt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R5-233157</w:t>
      </w:r>
      <w:r>
        <w:rPr>
          <w:rFonts w:hint="eastAsia" w:ascii="Arial" w:hAnsi="Arial" w:cs="Arial"/>
          <w:bCs/>
          <w:highlight w:val="none"/>
        </w:rPr>
        <w:tab/>
      </w:r>
      <w:r>
        <w:rPr>
          <w:rFonts w:hint="eastAsia" w:ascii="Arial" w:hAnsi="Arial" w:cs="Arial"/>
          <w:bCs/>
          <w:highlight w:val="none"/>
        </w:rPr>
        <w:t>Update 7.3B.3.3.1 for R16 DC combos</w:t>
      </w:r>
      <w:r>
        <w:rPr>
          <w:rFonts w:hint="default" w:ascii="Arial" w:hAnsi="Arial" w:cs="Arial"/>
          <w:bCs/>
          <w:highlight w:val="none"/>
          <w:lang w:val="en-US"/>
        </w:rPr>
        <w:t xml:space="preserve">, </w:t>
      </w:r>
      <w:r>
        <w:rPr>
          <w:rFonts w:hint="eastAsia" w:ascii="Arial" w:hAnsi="Arial" w:cs="Arial"/>
          <w:bCs/>
          <w:highlight w:val="none"/>
        </w:rPr>
        <w:t>Qualcomm India Pvt Ltd</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R5-233576</w:t>
      </w:r>
      <w:r>
        <w:rPr>
          <w:rFonts w:hint="eastAsia" w:ascii="Arial" w:hAnsi="Arial" w:cs="Arial"/>
          <w:bCs/>
          <w:highlight w:val="none"/>
        </w:rPr>
        <w:tab/>
      </w:r>
      <w:r>
        <w:rPr>
          <w:rFonts w:hint="eastAsia" w:ascii="Arial" w:hAnsi="Arial" w:cs="Arial"/>
          <w:bCs/>
          <w:highlight w:val="none"/>
        </w:rPr>
        <w:t>Corrections on test requirements for MSD due to dual uplink for EN-DC</w:t>
      </w:r>
      <w:r>
        <w:rPr>
          <w:rFonts w:hint="default" w:ascii="Arial" w:hAnsi="Arial" w:cs="Arial"/>
          <w:bCs/>
          <w:highlight w:val="none"/>
          <w:lang w:val="en-US"/>
        </w:rPr>
        <w:t xml:space="preserve">, </w:t>
      </w:r>
      <w:r>
        <w:rPr>
          <w:rFonts w:hint="eastAsia" w:ascii="Arial" w:hAnsi="Arial" w:cs="Arial"/>
          <w:bCs/>
          <w:highlight w:val="none"/>
        </w:rPr>
        <w:t>ZTE Corporation</w:t>
      </w:r>
    </w:p>
    <w:p>
      <w:pPr>
        <w:numPr>
          <w:ilvl w:val="0"/>
          <w:numId w:val="10"/>
        </w:numPr>
        <w:tabs>
          <w:tab w:val="left" w:pos="567"/>
        </w:tabs>
        <w:overflowPunct/>
        <w:autoSpaceDE/>
        <w:autoSpaceDN/>
        <w:snapToGrid w:val="0"/>
        <w:spacing w:after="0"/>
        <w:textAlignment w:val="auto"/>
        <w:rPr>
          <w:rFonts w:hint="eastAsia" w:ascii="Arial" w:hAnsi="Arial" w:cs="Arial"/>
          <w:bCs/>
          <w:highlight w:val="none"/>
        </w:rPr>
      </w:pPr>
      <w:r>
        <w:rPr>
          <w:rFonts w:hint="eastAsia" w:ascii="Arial" w:hAnsi="Arial" w:cs="Arial"/>
          <w:bCs/>
          <w:highlight w:val="none"/>
        </w:rPr>
        <w:t>R5-233183</w:t>
      </w:r>
      <w:r>
        <w:rPr>
          <w:rFonts w:hint="eastAsia" w:ascii="Arial" w:hAnsi="Arial" w:cs="Arial"/>
          <w:bCs/>
          <w:highlight w:val="none"/>
        </w:rPr>
        <w:tab/>
      </w:r>
      <w:r>
        <w:rPr>
          <w:rFonts w:hint="eastAsia" w:ascii="Arial" w:hAnsi="Arial" w:cs="Arial"/>
          <w:bCs/>
          <w:highlight w:val="none"/>
        </w:rPr>
        <w:t>Update to R16 Configuration for DC</w:t>
      </w:r>
      <w:r>
        <w:rPr>
          <w:rFonts w:hint="default" w:ascii="Arial" w:hAnsi="Arial" w:cs="Arial"/>
          <w:bCs/>
          <w:highlight w:val="none"/>
          <w:lang w:val="en-US"/>
        </w:rPr>
        <w:t xml:space="preserve">, </w:t>
      </w:r>
      <w:r>
        <w:rPr>
          <w:rFonts w:hint="eastAsia" w:ascii="Arial" w:hAnsi="Arial" w:cs="Arial"/>
          <w:bCs/>
          <w:highlight w:val="none"/>
        </w:rPr>
        <w:t>Bureau Veritas ADT, KDDI</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.5</w:t>
      </w:r>
      <w:r>
        <w:rPr>
          <w:rFonts w:hint="eastAsia" w:ascii="Arial" w:hAnsi="Arial" w:cs="Arial" w:eastAsiaTheme="minorEastAsia"/>
          <w:b/>
          <w:highlight w:val="none"/>
        </w:rPr>
        <w:t>22</w:t>
      </w:r>
      <w:r>
        <w:rPr>
          <w:rFonts w:ascii="Arial" w:hAnsi="Arial" w:cs="Arial"/>
          <w:b/>
          <w:highlight w:val="none"/>
        </w:rPr>
        <w:t xml:space="preserve"> CRs</w:t>
      </w:r>
    </w:p>
    <w:p>
      <w:pPr>
        <w:numPr>
          <w:ilvl w:val="0"/>
          <w:numId w:val="11"/>
        </w:numPr>
        <w:tabs>
          <w:tab w:val="left" w:pos="567"/>
        </w:tabs>
        <w:overflowPunct/>
        <w:autoSpaceDE/>
        <w:autoSpaceDN/>
        <w:snapToGrid w:val="0"/>
        <w:spacing w:after="0"/>
        <w:textAlignment w:val="auto"/>
        <w:rPr>
          <w:rFonts w:hint="default" w:ascii="Arial" w:hAnsi="Arial" w:cs="Arial"/>
          <w:bCs/>
          <w:highlight w:val="none"/>
          <w:lang w:val="en-US" w:eastAsia="zh-CN"/>
        </w:rPr>
      </w:pPr>
      <w:r>
        <w:rPr>
          <w:rFonts w:hint="eastAsia" w:ascii="Arial" w:hAnsi="Arial" w:cs="Arial"/>
          <w:bCs/>
          <w:highlight w:val="none"/>
        </w:rPr>
        <w:t>R5-233736</w:t>
      </w:r>
      <w:r>
        <w:rPr>
          <w:rFonts w:hint="eastAsia" w:ascii="Arial" w:hAnsi="Arial" w:cs="Arial"/>
          <w:bCs/>
          <w:highlight w:val="none"/>
        </w:rPr>
        <w:tab/>
      </w:r>
      <w:r>
        <w:rPr>
          <w:rFonts w:hint="eastAsia" w:ascii="Arial" w:hAnsi="Arial" w:cs="Arial"/>
          <w:bCs/>
          <w:highlight w:val="none"/>
        </w:rPr>
        <w:t>Update to R16 NR CADC configuration test cases applicability</w:t>
      </w:r>
      <w:r>
        <w:rPr>
          <w:rFonts w:hint="default" w:ascii="Arial" w:hAnsi="Arial" w:cs="Arial"/>
          <w:bCs/>
          <w:highlight w:val="none"/>
          <w:lang w:val="en-US"/>
        </w:rPr>
        <w:t>, CMCC, Intertek, R&amp;S</w:t>
      </w:r>
    </w:p>
    <w:p>
      <w:pPr>
        <w:overflowPunct/>
        <w:autoSpaceDE/>
        <w:autoSpaceDN/>
        <w:snapToGrid w:val="0"/>
        <w:spacing w:after="0"/>
        <w:textAlignment w:val="auto"/>
        <w:rPr>
          <w:rFonts w:ascii="Arial" w:hAnsi="Arial" w:cs="Arial" w:eastAsiaTheme="minorEastAsia"/>
          <w:bCs/>
          <w:highlight w:val="none"/>
        </w:rPr>
      </w:pPr>
    </w:p>
    <w:p>
      <w:pPr>
        <w:overflowPunct/>
        <w:autoSpaceDE/>
        <w:autoSpaceDN/>
        <w:snapToGrid w:val="0"/>
        <w:spacing w:after="0"/>
        <w:textAlignment w:val="auto"/>
        <w:rPr>
          <w:rFonts w:ascii="Arial" w:hAnsi="Arial" w:cs="Arial" w:eastAsiaTheme="minorEastAsia"/>
          <w:bCs/>
          <w:highlight w:val="none"/>
        </w:rPr>
      </w:pPr>
      <w:r>
        <w:rPr>
          <w:rFonts w:ascii="Arial" w:hAnsi="Arial" w:cs="Arial"/>
          <w:b/>
          <w:highlight w:val="none"/>
        </w:rPr>
        <w:t>TS 3</w:t>
      </w:r>
      <w:r>
        <w:rPr>
          <w:rFonts w:hint="eastAsia" w:ascii="Arial" w:hAnsi="Arial" w:cs="Arial" w:eastAsiaTheme="minorEastAsia"/>
          <w:b/>
          <w:highlight w:val="none"/>
        </w:rPr>
        <w:t>8</w:t>
      </w:r>
      <w:r>
        <w:rPr>
          <w:rFonts w:ascii="Arial" w:hAnsi="Arial" w:cs="Arial"/>
          <w:b/>
          <w:highlight w:val="none"/>
        </w:rPr>
        <w:t>.</w:t>
      </w:r>
      <w:r>
        <w:rPr>
          <w:rFonts w:hint="eastAsia" w:ascii="Arial" w:hAnsi="Arial" w:eastAsia="宋体" w:cs="Arial"/>
          <w:b/>
          <w:highlight w:val="none"/>
          <w:lang w:val="en-US" w:eastAsia="zh-CN"/>
        </w:rPr>
        <w:t>905</w:t>
      </w:r>
      <w:r>
        <w:rPr>
          <w:rFonts w:ascii="Arial" w:hAnsi="Arial" w:cs="Arial"/>
          <w:b/>
          <w:highlight w:val="none"/>
        </w:rPr>
        <w:t xml:space="preserve"> CRs</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R5-232114</w:t>
      </w:r>
      <w:r>
        <w:rPr>
          <w:rFonts w:hint="eastAsia" w:ascii="Arial" w:hAnsi="Arial" w:cs="Arial"/>
          <w:bCs/>
          <w:highlight w:val="none"/>
        </w:rPr>
        <w:tab/>
      </w:r>
      <w:r>
        <w:rPr>
          <w:rFonts w:hint="eastAsia" w:ascii="Arial" w:hAnsi="Arial" w:cs="Arial"/>
          <w:bCs/>
          <w:highlight w:val="none"/>
        </w:rPr>
        <w:t>Introduction of MOP test point analysis for CA_n28A-n78A, 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R5-232115</w:t>
      </w:r>
      <w:r>
        <w:rPr>
          <w:rFonts w:hint="eastAsia" w:ascii="Arial" w:hAnsi="Arial" w:cs="Arial"/>
          <w:bCs/>
          <w:highlight w:val="none"/>
        </w:rPr>
        <w:tab/>
      </w:r>
      <w:r>
        <w:rPr>
          <w:rFonts w:hint="eastAsia" w:ascii="Arial" w:hAnsi="Arial" w:cs="Arial"/>
          <w:bCs/>
          <w:highlight w:val="none"/>
        </w:rPr>
        <w:t>Introduction of spurious emission TP analysis for CA_n28A-n78A</w:t>
      </w:r>
      <w:r>
        <w:rPr>
          <w:rFonts w:hint="default" w:ascii="Arial" w:hAnsi="Arial" w:cs="Arial"/>
          <w:bCs/>
          <w:highlight w:val="none"/>
          <w:lang w:val="en-US"/>
        </w:rPr>
        <w:t xml:space="preserve">, </w:t>
      </w:r>
      <w:r>
        <w:rPr>
          <w:rFonts w:hint="eastAsia" w:ascii="Arial" w:hAnsi="Arial" w:cs="Arial"/>
          <w:bCs/>
          <w:highlight w:val="none"/>
        </w:rPr>
        <w:t>Nokia, Nokia Shanghai Bell</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R5-232424</w:t>
      </w:r>
      <w:r>
        <w:rPr>
          <w:rFonts w:hint="eastAsia" w:ascii="Arial" w:hAnsi="Arial" w:cs="Arial"/>
          <w:bCs/>
          <w:highlight w:val="none"/>
        </w:rPr>
        <w:tab/>
      </w:r>
      <w:r>
        <w:rPr>
          <w:rFonts w:hint="eastAsia" w:ascii="Arial" w:hAnsi="Arial" w:cs="Arial"/>
          <w:bCs/>
          <w:highlight w:val="none"/>
        </w:rPr>
        <w:t>Addition of spurious emission TP analysis for CA_n1A-n3A</w:t>
      </w:r>
      <w:r>
        <w:rPr>
          <w:rFonts w:hint="default" w:ascii="Arial" w:hAnsi="Arial" w:cs="Arial"/>
          <w:bCs/>
          <w:highlight w:val="none"/>
          <w:lang w:val="en-US"/>
        </w:rPr>
        <w:t xml:space="preserve">, </w:t>
      </w:r>
      <w:r>
        <w:rPr>
          <w:rFonts w:hint="eastAsia" w:ascii="Arial" w:hAnsi="Arial" w:cs="Arial"/>
          <w:bCs/>
          <w:highlight w:val="none"/>
        </w:rPr>
        <w:t>China Unicom</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R5-232608</w:t>
      </w:r>
      <w:r>
        <w:rPr>
          <w:rFonts w:hint="eastAsia" w:ascii="Arial" w:hAnsi="Arial" w:cs="Arial"/>
          <w:bCs/>
          <w:highlight w:val="none"/>
        </w:rPr>
        <w:tab/>
      </w:r>
      <w:r>
        <w:rPr>
          <w:rFonts w:hint="eastAsia" w:ascii="Arial" w:hAnsi="Arial" w:cs="Arial"/>
          <w:bCs/>
          <w:highlight w:val="none"/>
        </w:rPr>
        <w:t>Ref sensitivity TP selection for DC_7A_n66A DC_7A_n77A and DC_66A_n25A</w:t>
      </w:r>
      <w:r>
        <w:rPr>
          <w:rFonts w:hint="default" w:ascii="Arial" w:hAnsi="Arial" w:cs="Arial"/>
          <w:bCs/>
          <w:highlight w:val="none"/>
          <w:lang w:val="en-US"/>
        </w:rPr>
        <w:t xml:space="preserve">, </w:t>
      </w:r>
      <w:r>
        <w:rPr>
          <w:rFonts w:hint="eastAsia" w:ascii="Arial" w:hAnsi="Arial" w:cs="Arial"/>
          <w:bCs/>
          <w:highlight w:val="none"/>
        </w:rPr>
        <w:t>Qualcomm India Pvt Ltd</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R5-232709</w:t>
      </w:r>
      <w:r>
        <w:rPr>
          <w:rFonts w:hint="eastAsia" w:ascii="Arial" w:hAnsi="Arial" w:cs="Arial"/>
          <w:bCs/>
          <w:highlight w:val="none"/>
        </w:rPr>
        <w:tab/>
      </w:r>
      <w:r>
        <w:rPr>
          <w:rFonts w:hint="eastAsia" w:ascii="Arial" w:hAnsi="Arial" w:cs="Arial"/>
          <w:bCs/>
          <w:highlight w:val="none"/>
        </w:rPr>
        <w:t>Addition of reference sensitivity test point analysis for n28A-n77A</w:t>
      </w:r>
      <w:r>
        <w:rPr>
          <w:rFonts w:hint="default" w:ascii="Arial" w:hAnsi="Arial" w:cs="Arial"/>
          <w:bCs/>
          <w:highlight w:val="none"/>
          <w:lang w:val="en-US"/>
        </w:rPr>
        <w:t xml:space="preserve">, </w:t>
      </w:r>
      <w:r>
        <w:rPr>
          <w:rFonts w:hint="eastAsia" w:ascii="Arial" w:hAnsi="Arial" w:cs="Arial"/>
          <w:bCs/>
          <w:highlight w:val="none"/>
        </w:rPr>
        <w:t>KDDI Corporation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R5-232876</w:t>
      </w:r>
      <w:r>
        <w:rPr>
          <w:rFonts w:hint="eastAsia" w:ascii="Arial" w:hAnsi="Arial" w:cs="Arial"/>
          <w:bCs/>
          <w:highlight w:val="none"/>
        </w:rPr>
        <w:tab/>
      </w:r>
      <w:r>
        <w:rPr>
          <w:rFonts w:hint="eastAsia" w:ascii="Arial" w:hAnsi="Arial" w:cs="Arial"/>
          <w:bCs/>
          <w:highlight w:val="none"/>
        </w:rPr>
        <w:t>Editorial in Table 4.1.3.1-2</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R5-232878</w:t>
      </w:r>
      <w:r>
        <w:rPr>
          <w:rFonts w:hint="eastAsia" w:ascii="Arial" w:hAnsi="Arial" w:cs="Arial"/>
          <w:bCs/>
          <w:highlight w:val="none"/>
        </w:rPr>
        <w:tab/>
      </w:r>
      <w:r>
        <w:rPr>
          <w:rFonts w:hint="eastAsia" w:ascii="Arial" w:hAnsi="Arial" w:cs="Arial"/>
          <w:bCs/>
          <w:highlight w:val="none"/>
        </w:rPr>
        <w:t>Addition of CA_n41A-n66A-n71A in sensitivity test case config table.</w:t>
      </w:r>
      <w:r>
        <w:rPr>
          <w:rFonts w:hint="default" w:ascii="Arial" w:hAnsi="Arial" w:cs="Arial"/>
          <w:bCs/>
          <w:highlight w:val="none"/>
          <w:lang w:val="en-US"/>
        </w:rPr>
        <w:t xml:space="preserve">, </w:t>
      </w:r>
      <w:r>
        <w:rPr>
          <w:rFonts w:hint="eastAsia" w:ascii="Arial" w:hAnsi="Arial" w:cs="Arial"/>
          <w:bCs/>
          <w:highlight w:val="none"/>
        </w:rPr>
        <w:t>Ericsson</w:t>
      </w:r>
    </w:p>
    <w:p>
      <w:pPr>
        <w:numPr>
          <w:ilvl w:val="0"/>
          <w:numId w:val="12"/>
        </w:numPr>
        <w:tabs>
          <w:tab w:val="left" w:pos="567"/>
        </w:tabs>
        <w:overflowPunct/>
        <w:autoSpaceDE/>
        <w:autoSpaceDN/>
        <w:snapToGrid w:val="0"/>
        <w:spacing w:after="0"/>
        <w:ind w:left="0" w:leftChars="0" w:firstLine="0" w:firstLineChars="0"/>
        <w:textAlignment w:val="auto"/>
        <w:rPr>
          <w:rFonts w:hint="eastAsia" w:ascii="Arial" w:hAnsi="Arial" w:cs="Arial"/>
          <w:bCs/>
          <w:highlight w:val="none"/>
        </w:rPr>
      </w:pPr>
      <w:r>
        <w:rPr>
          <w:rFonts w:hint="eastAsia" w:ascii="Arial" w:hAnsi="Arial" w:cs="Arial"/>
          <w:bCs/>
          <w:highlight w:val="none"/>
        </w:rPr>
        <w:t>R5-233530</w:t>
      </w:r>
      <w:r>
        <w:rPr>
          <w:rFonts w:hint="eastAsia" w:ascii="Arial" w:hAnsi="Arial" w:cs="Arial"/>
          <w:bCs/>
          <w:highlight w:val="none"/>
        </w:rPr>
        <w:tab/>
      </w:r>
      <w:r>
        <w:rPr>
          <w:rFonts w:hint="eastAsia" w:ascii="Arial" w:hAnsi="Arial" w:cs="Arial"/>
          <w:bCs/>
          <w:highlight w:val="none"/>
        </w:rPr>
        <w:t>Correction of test point analysis for CA_n66A-n71A</w:t>
      </w:r>
      <w:r>
        <w:rPr>
          <w:rFonts w:hint="default" w:ascii="Arial" w:hAnsi="Arial" w:cs="Arial"/>
          <w:bCs/>
          <w:highlight w:val="none"/>
          <w:lang w:val="en-US"/>
        </w:rPr>
        <w:t xml:space="preserve">, </w:t>
      </w:r>
      <w:r>
        <w:rPr>
          <w:rFonts w:hint="eastAsia" w:ascii="Arial" w:hAnsi="Arial" w:cs="Arial"/>
          <w:bCs/>
          <w:highlight w:val="none"/>
        </w:rPr>
        <w:t>ROHDE &amp; SCHWARZ</w:t>
      </w:r>
    </w:p>
    <w:p>
      <w:pPr>
        <w:numPr>
          <w:ilvl w:val="0"/>
          <w:numId w:val="0"/>
        </w:numPr>
        <w:tabs>
          <w:tab w:val="left" w:pos="567"/>
        </w:tabs>
        <w:overflowPunct/>
        <w:autoSpaceDE/>
        <w:autoSpaceDN/>
        <w:adjustRightInd w:val="0"/>
        <w:snapToGrid w:val="0"/>
        <w:spacing w:after="0"/>
        <w:textAlignment w:val="auto"/>
        <w:rPr>
          <w:rFonts w:hint="eastAsia" w:ascii="Arial" w:hAnsi="Arial" w:cs="Arial"/>
          <w:bCs/>
          <w:highlight w:val="yellow"/>
        </w:rPr>
      </w:pPr>
    </w:p>
    <w:p>
      <w:pPr>
        <w:pStyle w:val="60"/>
        <w:rPr>
          <w:sz w:val="12"/>
          <w:szCs w:val="12"/>
          <w:highlight w:val="none"/>
        </w:rPr>
      </w:pPr>
      <w:r>
        <w:rPr>
          <w:sz w:val="12"/>
          <w:szCs w:val="12"/>
          <w:highlight w:val="none"/>
        </w:rPr>
        <w:t>v04.81</w:t>
      </w:r>
      <w:r>
        <w:rPr>
          <w:sz w:val="12"/>
          <w:szCs w:val="12"/>
          <w:highlight w:val="none"/>
        </w:rPr>
        <w:tab/>
      </w:r>
      <w:r>
        <w:rPr>
          <w:sz w:val="12"/>
          <w:szCs w:val="12"/>
          <w:highlight w:val="none"/>
        </w:rPr>
        <w:t>31.07.2018</w:t>
      </w:r>
      <w:r>
        <w:rPr>
          <w:sz w:val="12"/>
          <w:szCs w:val="12"/>
          <w:highlight w:val="none"/>
        </w:rPr>
        <w:tab/>
      </w:r>
      <w:r>
        <w:rPr>
          <w:sz w:val="12"/>
          <w:szCs w:val="12"/>
          <w:highlight w:val="none"/>
        </w:rPr>
        <w:tab/>
      </w:r>
      <w:r>
        <w:rPr>
          <w:sz w:val="12"/>
          <w:szCs w:val="12"/>
          <w:highlight w:val="none"/>
        </w:rPr>
        <w:t>simplification of template and addition of cross-TSG aspects</w:t>
      </w:r>
    </w:p>
    <w:p>
      <w:pPr>
        <w:pStyle w:val="60"/>
        <w:rPr>
          <w:sz w:val="12"/>
          <w:szCs w:val="12"/>
          <w:highlight w:val="none"/>
        </w:rPr>
      </w:pPr>
      <w:r>
        <w:rPr>
          <w:sz w:val="12"/>
          <w:szCs w:val="12"/>
          <w:highlight w:val="none"/>
        </w:rPr>
        <w:t>v04.80</w:t>
      </w:r>
      <w:r>
        <w:rPr>
          <w:sz w:val="12"/>
          <w:szCs w:val="12"/>
          <w:highlight w:val="none"/>
        </w:rPr>
        <w:tab/>
      </w:r>
      <w:r>
        <w:rPr>
          <w:sz w:val="12"/>
          <w:szCs w:val="12"/>
          <w:highlight w:val="none"/>
        </w:rPr>
        <w:t>21.05.2018</w:t>
      </w:r>
      <w:r>
        <w:rPr>
          <w:sz w:val="12"/>
          <w:szCs w:val="12"/>
          <w:highlight w:val="none"/>
        </w:rPr>
        <w:tab/>
      </w:r>
      <w:r>
        <w:rPr>
          <w:sz w:val="12"/>
          <w:szCs w:val="12"/>
          <w:highlight w:val="none"/>
        </w:rPr>
        <w:tab/>
      </w:r>
      <w:r>
        <w:rPr>
          <w:sz w:val="12"/>
          <w:szCs w:val="12"/>
          <w:highlight w:val="none"/>
        </w:rPr>
        <w:t>minor adaptations for RAN #80</w:t>
      </w:r>
    </w:p>
    <w:p>
      <w:pPr>
        <w:pStyle w:val="60"/>
        <w:rPr>
          <w:sz w:val="12"/>
          <w:szCs w:val="12"/>
          <w:highlight w:val="none"/>
        </w:rPr>
      </w:pPr>
      <w:r>
        <w:rPr>
          <w:sz w:val="12"/>
          <w:szCs w:val="12"/>
          <w:highlight w:val="none"/>
        </w:rPr>
        <w:t>v04.79</w:t>
      </w:r>
      <w:r>
        <w:rPr>
          <w:sz w:val="12"/>
          <w:szCs w:val="12"/>
          <w:highlight w:val="none"/>
        </w:rPr>
        <w:tab/>
      </w:r>
      <w:r>
        <w:rPr>
          <w:sz w:val="12"/>
          <w:szCs w:val="12"/>
          <w:highlight w:val="none"/>
        </w:rPr>
        <w:t>26.02.2018</w:t>
      </w:r>
      <w:r>
        <w:rPr>
          <w:sz w:val="12"/>
          <w:szCs w:val="12"/>
          <w:highlight w:val="none"/>
        </w:rPr>
        <w:tab/>
      </w:r>
      <w:r>
        <w:rPr>
          <w:sz w:val="12"/>
          <w:szCs w:val="12"/>
          <w:highlight w:val="none"/>
        </w:rPr>
        <w:tab/>
      </w:r>
      <w:r>
        <w:rPr>
          <w:sz w:val="12"/>
          <w:szCs w:val="12"/>
          <w:highlight w:val="none"/>
        </w:rPr>
        <w:t>minor adaptations for RAN #79</w:t>
      </w:r>
    </w:p>
    <w:p>
      <w:pPr>
        <w:pStyle w:val="60"/>
        <w:rPr>
          <w:sz w:val="12"/>
          <w:szCs w:val="12"/>
          <w:highlight w:val="none"/>
        </w:rPr>
      </w:pPr>
      <w:r>
        <w:rPr>
          <w:sz w:val="12"/>
          <w:szCs w:val="12"/>
          <w:highlight w:val="none"/>
        </w:rPr>
        <w:t>v04.78</w:t>
      </w:r>
      <w:r>
        <w:rPr>
          <w:sz w:val="12"/>
          <w:szCs w:val="12"/>
          <w:highlight w:val="none"/>
        </w:rPr>
        <w:tab/>
      </w:r>
      <w:r>
        <w:rPr>
          <w:sz w:val="12"/>
          <w:szCs w:val="12"/>
          <w:highlight w:val="none"/>
        </w:rPr>
        <w:t>18.11.2017</w:t>
      </w:r>
      <w:r>
        <w:rPr>
          <w:sz w:val="12"/>
          <w:szCs w:val="12"/>
          <w:highlight w:val="none"/>
        </w:rPr>
        <w:tab/>
      </w:r>
      <w:r>
        <w:rPr>
          <w:sz w:val="12"/>
          <w:szCs w:val="12"/>
          <w:highlight w:val="none"/>
        </w:rPr>
        <w:tab/>
      </w:r>
      <w:r>
        <w:rPr>
          <w:sz w:val="12"/>
          <w:szCs w:val="12"/>
          <w:highlight w:val="none"/>
        </w:rPr>
        <w:t>minor adaptations for RAN #78</w:t>
      </w:r>
    </w:p>
    <w:p>
      <w:pPr>
        <w:pStyle w:val="60"/>
        <w:rPr>
          <w:sz w:val="12"/>
          <w:szCs w:val="12"/>
          <w:highlight w:val="none"/>
        </w:rPr>
      </w:pPr>
      <w:r>
        <w:rPr>
          <w:sz w:val="12"/>
          <w:szCs w:val="12"/>
          <w:highlight w:val="none"/>
        </w:rPr>
        <w:t>v04.77</w:t>
      </w:r>
      <w:r>
        <w:rPr>
          <w:sz w:val="12"/>
          <w:szCs w:val="12"/>
          <w:highlight w:val="none"/>
        </w:rPr>
        <w:tab/>
      </w:r>
      <w:r>
        <w:rPr>
          <w:sz w:val="12"/>
          <w:szCs w:val="12"/>
          <w:highlight w:val="none"/>
        </w:rPr>
        <w:t>06.08.2017</w:t>
      </w:r>
      <w:r>
        <w:rPr>
          <w:sz w:val="12"/>
          <w:szCs w:val="12"/>
          <w:highlight w:val="none"/>
        </w:rPr>
        <w:tab/>
      </w:r>
      <w:r>
        <w:rPr>
          <w:sz w:val="12"/>
          <w:szCs w:val="12"/>
          <w:highlight w:val="none"/>
        </w:rPr>
        <w:tab/>
      </w:r>
      <w:r>
        <w:rPr>
          <w:sz w:val="12"/>
          <w:szCs w:val="12"/>
          <w:highlight w:val="none"/>
        </w:rPr>
        <w:t>minor adaptations for RAN #77</w:t>
      </w:r>
    </w:p>
    <w:p>
      <w:pPr>
        <w:pStyle w:val="60"/>
        <w:rPr>
          <w:sz w:val="12"/>
          <w:szCs w:val="12"/>
          <w:highlight w:val="none"/>
        </w:rPr>
      </w:pPr>
      <w:r>
        <w:rPr>
          <w:sz w:val="12"/>
          <w:szCs w:val="12"/>
          <w:highlight w:val="none"/>
        </w:rPr>
        <w:t>v04.76</w:t>
      </w:r>
      <w:r>
        <w:rPr>
          <w:sz w:val="12"/>
          <w:szCs w:val="12"/>
          <w:highlight w:val="none"/>
        </w:rPr>
        <w:tab/>
      </w:r>
      <w:r>
        <w:rPr>
          <w:sz w:val="12"/>
          <w:szCs w:val="12"/>
          <w:highlight w:val="none"/>
        </w:rPr>
        <w:t>15.05.2017</w:t>
      </w:r>
      <w:r>
        <w:rPr>
          <w:sz w:val="12"/>
          <w:szCs w:val="12"/>
          <w:highlight w:val="none"/>
        </w:rPr>
        <w:tab/>
      </w:r>
      <w:r>
        <w:rPr>
          <w:sz w:val="12"/>
          <w:szCs w:val="12"/>
          <w:highlight w:val="none"/>
        </w:rPr>
        <w:tab/>
      </w:r>
      <w:r>
        <w:rPr>
          <w:sz w:val="12"/>
          <w:szCs w:val="12"/>
          <w:highlight w:val="none"/>
        </w:rPr>
        <w:t>minor adaptations for RAN #76</w:t>
      </w:r>
    </w:p>
    <w:p>
      <w:pPr>
        <w:pStyle w:val="60"/>
        <w:rPr>
          <w:sz w:val="12"/>
          <w:szCs w:val="12"/>
          <w:highlight w:val="none"/>
        </w:rPr>
      </w:pPr>
      <w:r>
        <w:rPr>
          <w:sz w:val="12"/>
          <w:szCs w:val="12"/>
          <w:highlight w:val="none"/>
        </w:rPr>
        <w:t>v04.75</w:t>
      </w:r>
      <w:r>
        <w:rPr>
          <w:sz w:val="12"/>
          <w:szCs w:val="12"/>
          <w:highlight w:val="none"/>
        </w:rPr>
        <w:tab/>
      </w:r>
      <w:r>
        <w:rPr>
          <w:sz w:val="12"/>
          <w:szCs w:val="12"/>
          <w:highlight w:val="none"/>
        </w:rPr>
        <w:t>31.01.2017</w:t>
      </w:r>
      <w:r>
        <w:rPr>
          <w:sz w:val="12"/>
          <w:szCs w:val="12"/>
          <w:highlight w:val="none"/>
        </w:rPr>
        <w:tab/>
      </w:r>
      <w:r>
        <w:rPr>
          <w:sz w:val="12"/>
          <w:szCs w:val="12"/>
          <w:highlight w:val="none"/>
        </w:rPr>
        <w:tab/>
      </w:r>
      <w:r>
        <w:rPr>
          <w:sz w:val="12"/>
          <w:szCs w:val="12"/>
          <w:highlight w:val="none"/>
        </w:rPr>
        <w:t>minor adaptations for RAN #75</w:t>
      </w:r>
    </w:p>
    <w:p>
      <w:pPr>
        <w:pStyle w:val="60"/>
        <w:rPr>
          <w:sz w:val="12"/>
          <w:szCs w:val="12"/>
          <w:highlight w:val="none"/>
        </w:rPr>
      </w:pPr>
      <w:r>
        <w:rPr>
          <w:sz w:val="12"/>
          <w:szCs w:val="12"/>
          <w:highlight w:val="none"/>
        </w:rPr>
        <w:t>v04.74</w:t>
      </w:r>
      <w:r>
        <w:rPr>
          <w:sz w:val="12"/>
          <w:szCs w:val="12"/>
          <w:highlight w:val="none"/>
        </w:rPr>
        <w:tab/>
      </w:r>
      <w:r>
        <w:rPr>
          <w:sz w:val="12"/>
          <w:szCs w:val="12"/>
          <w:highlight w:val="none"/>
        </w:rPr>
        <w:t>28.10.2016</w:t>
      </w:r>
      <w:r>
        <w:rPr>
          <w:sz w:val="12"/>
          <w:szCs w:val="12"/>
          <w:highlight w:val="none"/>
        </w:rPr>
        <w:tab/>
      </w:r>
      <w:r>
        <w:rPr>
          <w:sz w:val="12"/>
          <w:szCs w:val="12"/>
          <w:highlight w:val="none"/>
        </w:rPr>
        <w:tab/>
      </w:r>
      <w:r>
        <w:rPr>
          <w:sz w:val="12"/>
          <w:szCs w:val="12"/>
          <w:highlight w:val="none"/>
        </w:rPr>
        <w:t>minor adaptations for RAN #74</w:t>
      </w:r>
    </w:p>
    <w:p>
      <w:pPr>
        <w:pStyle w:val="60"/>
        <w:rPr>
          <w:sz w:val="12"/>
          <w:szCs w:val="12"/>
          <w:highlight w:val="none"/>
        </w:rPr>
      </w:pPr>
      <w:r>
        <w:rPr>
          <w:sz w:val="12"/>
          <w:szCs w:val="12"/>
          <w:highlight w:val="none"/>
        </w:rPr>
        <w:t>v04.73</w:t>
      </w:r>
      <w:r>
        <w:rPr>
          <w:sz w:val="12"/>
          <w:szCs w:val="12"/>
          <w:highlight w:val="none"/>
        </w:rPr>
        <w:tab/>
      </w:r>
      <w:r>
        <w:rPr>
          <w:sz w:val="12"/>
          <w:szCs w:val="12"/>
          <w:highlight w:val="none"/>
        </w:rPr>
        <w:t>01.09.2016</w:t>
      </w:r>
      <w:r>
        <w:rPr>
          <w:sz w:val="12"/>
          <w:szCs w:val="12"/>
          <w:highlight w:val="none"/>
        </w:rPr>
        <w:tab/>
      </w:r>
      <w:r>
        <w:rPr>
          <w:sz w:val="12"/>
          <w:szCs w:val="12"/>
          <w:highlight w:val="none"/>
        </w:rPr>
        <w:tab/>
      </w:r>
      <w:r>
        <w:rPr>
          <w:sz w:val="12"/>
          <w:szCs w:val="12"/>
          <w:highlight w:val="none"/>
        </w:rPr>
        <w:t>adaptations for RAN #73 (time units in extra Excel table, RAN6 reporting included)</w:t>
      </w:r>
    </w:p>
    <w:p>
      <w:pPr>
        <w:pStyle w:val="60"/>
        <w:rPr>
          <w:sz w:val="12"/>
          <w:szCs w:val="12"/>
          <w:highlight w:val="none"/>
        </w:rPr>
      </w:pPr>
      <w:r>
        <w:rPr>
          <w:sz w:val="12"/>
          <w:szCs w:val="12"/>
          <w:highlight w:val="none"/>
        </w:rPr>
        <w:t>v04.72</w:t>
      </w:r>
      <w:r>
        <w:rPr>
          <w:sz w:val="12"/>
          <w:szCs w:val="12"/>
          <w:highlight w:val="none"/>
        </w:rPr>
        <w:tab/>
      </w:r>
      <w:r>
        <w:rPr>
          <w:sz w:val="12"/>
          <w:szCs w:val="12"/>
          <w:highlight w:val="none"/>
        </w:rPr>
        <w:t>26.05.2016</w:t>
      </w:r>
      <w:r>
        <w:rPr>
          <w:sz w:val="12"/>
          <w:szCs w:val="12"/>
          <w:highlight w:val="none"/>
        </w:rPr>
        <w:tab/>
      </w:r>
      <w:r>
        <w:rPr>
          <w:sz w:val="12"/>
          <w:szCs w:val="12"/>
          <w:highlight w:val="none"/>
        </w:rPr>
        <w:tab/>
      </w:r>
      <w:r>
        <w:rPr>
          <w:sz w:val="12"/>
          <w:szCs w:val="12"/>
          <w:highlight w:val="none"/>
        </w:rPr>
        <w:t>adaptations for RAN #72 (introduction of NR &amp; GERAN TUs)</w:t>
      </w:r>
    </w:p>
    <w:p>
      <w:pPr>
        <w:pStyle w:val="60"/>
        <w:rPr>
          <w:sz w:val="12"/>
          <w:szCs w:val="12"/>
          <w:highlight w:val="none"/>
        </w:rPr>
      </w:pPr>
      <w:r>
        <w:rPr>
          <w:sz w:val="12"/>
          <w:szCs w:val="12"/>
          <w:highlight w:val="none"/>
        </w:rPr>
        <w:t>v04.71</w:t>
      </w:r>
      <w:r>
        <w:rPr>
          <w:sz w:val="12"/>
          <w:szCs w:val="12"/>
          <w:highlight w:val="none"/>
        </w:rPr>
        <w:tab/>
      </w:r>
      <w:r>
        <w:rPr>
          <w:sz w:val="12"/>
          <w:szCs w:val="12"/>
          <w:highlight w:val="none"/>
        </w:rPr>
        <w:t>10.02.2016</w:t>
      </w:r>
      <w:r>
        <w:rPr>
          <w:sz w:val="12"/>
          <w:szCs w:val="12"/>
          <w:highlight w:val="none"/>
        </w:rPr>
        <w:tab/>
      </w:r>
      <w:r>
        <w:rPr>
          <w:sz w:val="12"/>
          <w:szCs w:val="12"/>
          <w:highlight w:val="none"/>
        </w:rPr>
        <w:tab/>
      </w:r>
      <w:r>
        <w:rPr>
          <w:sz w:val="12"/>
          <w:szCs w:val="12"/>
          <w:highlight w:val="none"/>
        </w:rPr>
        <w:t>minor adaptations for RAN #71</w:t>
      </w:r>
    </w:p>
    <w:p>
      <w:pPr>
        <w:pStyle w:val="60"/>
        <w:rPr>
          <w:sz w:val="12"/>
          <w:szCs w:val="12"/>
          <w:highlight w:val="none"/>
        </w:rPr>
      </w:pPr>
      <w:r>
        <w:rPr>
          <w:sz w:val="12"/>
          <w:szCs w:val="12"/>
          <w:highlight w:val="none"/>
        </w:rPr>
        <w:t>v04.70</w:t>
      </w:r>
      <w:r>
        <w:rPr>
          <w:sz w:val="12"/>
          <w:szCs w:val="12"/>
          <w:highlight w:val="none"/>
        </w:rPr>
        <w:tab/>
      </w:r>
      <w:r>
        <w:rPr>
          <w:sz w:val="12"/>
          <w:szCs w:val="12"/>
          <w:highlight w:val="none"/>
        </w:rPr>
        <w:t>30.10.2015</w:t>
      </w:r>
      <w:r>
        <w:rPr>
          <w:sz w:val="12"/>
          <w:szCs w:val="12"/>
          <w:highlight w:val="none"/>
        </w:rPr>
        <w:tab/>
      </w:r>
      <w:r>
        <w:rPr>
          <w:sz w:val="12"/>
          <w:szCs w:val="12"/>
          <w:highlight w:val="none"/>
        </w:rPr>
        <w:tab/>
      </w:r>
      <w:r>
        <w:rPr>
          <w:sz w:val="12"/>
          <w:szCs w:val="12"/>
          <w:highlight w:val="none"/>
        </w:rPr>
        <w:t>minor adaptations for RAN #70</w:t>
      </w:r>
    </w:p>
    <w:p>
      <w:pPr>
        <w:pStyle w:val="60"/>
        <w:rPr>
          <w:sz w:val="12"/>
          <w:szCs w:val="12"/>
          <w:highlight w:val="none"/>
        </w:rPr>
      </w:pPr>
      <w:r>
        <w:rPr>
          <w:sz w:val="12"/>
          <w:szCs w:val="12"/>
          <w:highlight w:val="none"/>
        </w:rPr>
        <w:t>v04.69</w:t>
      </w:r>
      <w:r>
        <w:rPr>
          <w:sz w:val="12"/>
          <w:szCs w:val="12"/>
          <w:highlight w:val="none"/>
        </w:rPr>
        <w:tab/>
      </w:r>
      <w:r>
        <w:rPr>
          <w:sz w:val="12"/>
          <w:szCs w:val="12"/>
          <w:highlight w:val="none"/>
        </w:rPr>
        <w:t>12.08.2015</w:t>
      </w:r>
      <w:r>
        <w:rPr>
          <w:sz w:val="12"/>
          <w:szCs w:val="12"/>
          <w:highlight w:val="none"/>
        </w:rPr>
        <w:tab/>
      </w:r>
      <w:r>
        <w:rPr>
          <w:sz w:val="12"/>
          <w:szCs w:val="12"/>
          <w:highlight w:val="none"/>
        </w:rPr>
        <w:tab/>
      </w:r>
      <w:r>
        <w:rPr>
          <w:sz w:val="12"/>
          <w:szCs w:val="12"/>
          <w:highlight w:val="none"/>
        </w:rPr>
        <w:t>minor adaptations for RAN #69</w:t>
      </w:r>
    </w:p>
    <w:p>
      <w:pPr>
        <w:pStyle w:val="60"/>
        <w:rPr>
          <w:sz w:val="12"/>
          <w:szCs w:val="12"/>
          <w:highlight w:val="none"/>
        </w:rPr>
      </w:pPr>
      <w:r>
        <w:rPr>
          <w:sz w:val="12"/>
          <w:szCs w:val="12"/>
          <w:highlight w:val="none"/>
        </w:rPr>
        <w:t>v04.68</w:t>
      </w:r>
      <w:r>
        <w:rPr>
          <w:sz w:val="12"/>
          <w:szCs w:val="12"/>
          <w:highlight w:val="none"/>
        </w:rPr>
        <w:tab/>
      </w:r>
      <w:r>
        <w:rPr>
          <w:sz w:val="12"/>
          <w:szCs w:val="12"/>
          <w:highlight w:val="none"/>
        </w:rPr>
        <w:t>21.05.2015</w:t>
      </w:r>
      <w:r>
        <w:rPr>
          <w:sz w:val="12"/>
          <w:szCs w:val="12"/>
          <w:highlight w:val="none"/>
        </w:rPr>
        <w:tab/>
      </w:r>
      <w:r>
        <w:rPr>
          <w:sz w:val="12"/>
          <w:szCs w:val="12"/>
          <w:highlight w:val="none"/>
        </w:rPr>
        <w:tab/>
      </w:r>
      <w:r>
        <w:rPr>
          <w:sz w:val="12"/>
          <w:szCs w:val="12"/>
          <w:highlight w:val="none"/>
        </w:rPr>
        <w:t>minor adaptations for RAN #68</w:t>
      </w:r>
    </w:p>
    <w:p>
      <w:pPr>
        <w:pStyle w:val="60"/>
        <w:rPr>
          <w:sz w:val="12"/>
          <w:szCs w:val="12"/>
          <w:highlight w:val="none"/>
        </w:rPr>
      </w:pPr>
      <w:r>
        <w:rPr>
          <w:sz w:val="12"/>
          <w:szCs w:val="12"/>
          <w:highlight w:val="none"/>
        </w:rPr>
        <w:t>v04.67</w:t>
      </w:r>
      <w:r>
        <w:rPr>
          <w:sz w:val="12"/>
          <w:szCs w:val="12"/>
          <w:highlight w:val="none"/>
        </w:rPr>
        <w:tab/>
      </w:r>
      <w:r>
        <w:rPr>
          <w:sz w:val="12"/>
          <w:szCs w:val="12"/>
          <w:highlight w:val="none"/>
        </w:rPr>
        <w:t>01.02.2015</w:t>
      </w:r>
      <w:r>
        <w:rPr>
          <w:sz w:val="12"/>
          <w:szCs w:val="12"/>
          <w:highlight w:val="none"/>
        </w:rPr>
        <w:tab/>
      </w:r>
      <w:r>
        <w:rPr>
          <w:sz w:val="12"/>
          <w:szCs w:val="12"/>
          <w:highlight w:val="none"/>
        </w:rPr>
        <w:tab/>
      </w:r>
      <w:r>
        <w:rPr>
          <w:sz w:val="12"/>
          <w:szCs w:val="12"/>
          <w:highlight w:val="none"/>
        </w:rPr>
        <w:t>minor adaptations for RAN #67</w:t>
      </w:r>
    </w:p>
    <w:p>
      <w:pPr>
        <w:pStyle w:val="60"/>
        <w:rPr>
          <w:sz w:val="12"/>
          <w:szCs w:val="12"/>
          <w:highlight w:val="none"/>
        </w:rPr>
      </w:pPr>
      <w:r>
        <w:rPr>
          <w:sz w:val="12"/>
          <w:szCs w:val="12"/>
          <w:highlight w:val="none"/>
        </w:rPr>
        <w:t>v04.66</w:t>
      </w:r>
      <w:r>
        <w:rPr>
          <w:sz w:val="12"/>
          <w:szCs w:val="12"/>
          <w:highlight w:val="none"/>
        </w:rPr>
        <w:tab/>
      </w:r>
      <w:r>
        <w:rPr>
          <w:sz w:val="12"/>
          <w:szCs w:val="12"/>
          <w:highlight w:val="none"/>
        </w:rPr>
        <w:t>16.11.2014</w:t>
      </w:r>
      <w:r>
        <w:rPr>
          <w:sz w:val="12"/>
          <w:szCs w:val="12"/>
          <w:highlight w:val="none"/>
        </w:rPr>
        <w:tab/>
      </w:r>
      <w:r>
        <w:rPr>
          <w:sz w:val="12"/>
          <w:szCs w:val="12"/>
          <w:highlight w:val="none"/>
        </w:rPr>
        <w:tab/>
      </w:r>
      <w:r>
        <w:rPr>
          <w:sz w:val="12"/>
          <w:szCs w:val="12"/>
          <w:highlight w:val="none"/>
        </w:rPr>
        <w:t>minor adaptations for RAN #66</w:t>
      </w:r>
    </w:p>
    <w:p>
      <w:pPr>
        <w:pStyle w:val="60"/>
        <w:rPr>
          <w:sz w:val="12"/>
          <w:szCs w:val="12"/>
          <w:highlight w:val="none"/>
        </w:rPr>
      </w:pPr>
      <w:r>
        <w:rPr>
          <w:sz w:val="12"/>
          <w:szCs w:val="12"/>
          <w:highlight w:val="none"/>
        </w:rPr>
        <w:t>v04.65</w:t>
      </w:r>
      <w:r>
        <w:rPr>
          <w:sz w:val="12"/>
          <w:szCs w:val="12"/>
          <w:highlight w:val="none"/>
        </w:rPr>
        <w:tab/>
      </w:r>
      <w:r>
        <w:rPr>
          <w:sz w:val="12"/>
          <w:szCs w:val="12"/>
          <w:highlight w:val="none"/>
        </w:rPr>
        <w:t>16.08.2014</w:t>
      </w:r>
      <w:r>
        <w:rPr>
          <w:sz w:val="12"/>
          <w:szCs w:val="12"/>
          <w:highlight w:val="none"/>
        </w:rPr>
        <w:tab/>
      </w:r>
      <w:r>
        <w:rPr>
          <w:sz w:val="12"/>
          <w:szCs w:val="12"/>
          <w:highlight w:val="none"/>
        </w:rPr>
        <w:tab/>
      </w:r>
      <w:r>
        <w:rPr>
          <w:sz w:val="12"/>
          <w:szCs w:val="12"/>
          <w:highlight w:val="none"/>
        </w:rPr>
        <w:t>minor adaptations for RAN #65</w:t>
      </w:r>
    </w:p>
    <w:p>
      <w:pPr>
        <w:pStyle w:val="60"/>
        <w:rPr>
          <w:sz w:val="12"/>
          <w:szCs w:val="12"/>
          <w:highlight w:val="none"/>
        </w:rPr>
      </w:pPr>
      <w:r>
        <w:rPr>
          <w:sz w:val="12"/>
          <w:szCs w:val="12"/>
          <w:highlight w:val="none"/>
        </w:rPr>
        <w:t>v04.64</w:t>
      </w:r>
      <w:r>
        <w:rPr>
          <w:sz w:val="12"/>
          <w:szCs w:val="12"/>
          <w:highlight w:val="none"/>
        </w:rPr>
        <w:tab/>
      </w:r>
      <w:r>
        <w:rPr>
          <w:sz w:val="12"/>
          <w:szCs w:val="12"/>
          <w:highlight w:val="none"/>
        </w:rPr>
        <w:t>22.05.2014</w:t>
      </w:r>
      <w:r>
        <w:rPr>
          <w:sz w:val="12"/>
          <w:szCs w:val="12"/>
          <w:highlight w:val="none"/>
        </w:rPr>
        <w:tab/>
      </w:r>
      <w:r>
        <w:rPr>
          <w:sz w:val="12"/>
          <w:szCs w:val="12"/>
          <w:highlight w:val="none"/>
        </w:rPr>
        <w:tab/>
      </w:r>
      <w:r>
        <w:rPr>
          <w:sz w:val="12"/>
          <w:szCs w:val="12"/>
          <w:highlight w:val="none"/>
        </w:rPr>
        <w:t>minor adaptations for RAN #64</w:t>
      </w:r>
    </w:p>
    <w:p>
      <w:pPr>
        <w:pStyle w:val="60"/>
        <w:rPr>
          <w:sz w:val="12"/>
          <w:szCs w:val="12"/>
          <w:highlight w:val="none"/>
        </w:rPr>
      </w:pPr>
      <w:r>
        <w:rPr>
          <w:sz w:val="12"/>
          <w:szCs w:val="12"/>
          <w:highlight w:val="none"/>
        </w:rPr>
        <w:t>v04.63</w:t>
      </w:r>
      <w:r>
        <w:rPr>
          <w:sz w:val="12"/>
          <w:szCs w:val="12"/>
          <w:highlight w:val="none"/>
        </w:rPr>
        <w:tab/>
      </w:r>
      <w:r>
        <w:rPr>
          <w:sz w:val="12"/>
          <w:szCs w:val="12"/>
          <w:highlight w:val="none"/>
        </w:rPr>
        <w:t>24.01.2014</w:t>
      </w:r>
      <w:r>
        <w:rPr>
          <w:sz w:val="12"/>
          <w:szCs w:val="12"/>
          <w:highlight w:val="none"/>
        </w:rPr>
        <w:tab/>
      </w:r>
      <w:r>
        <w:rPr>
          <w:sz w:val="12"/>
          <w:szCs w:val="12"/>
          <w:highlight w:val="none"/>
        </w:rPr>
        <w:tab/>
      </w:r>
      <w:r>
        <w:rPr>
          <w:sz w:val="12"/>
          <w:szCs w:val="12"/>
          <w:highlight w:val="none"/>
        </w:rPr>
        <w:t>restructuring for RAN #63 to cover Core &amp; Perf. in one doc file</w:t>
      </w:r>
    </w:p>
    <w:p>
      <w:pPr>
        <w:pStyle w:val="60"/>
        <w:rPr>
          <w:sz w:val="12"/>
          <w:szCs w:val="12"/>
          <w:highlight w:val="none"/>
        </w:rPr>
      </w:pPr>
      <w:r>
        <w:rPr>
          <w:sz w:val="12"/>
          <w:szCs w:val="12"/>
          <w:highlight w:val="none"/>
        </w:rPr>
        <w:t>v03.62</w:t>
      </w:r>
      <w:r>
        <w:rPr>
          <w:sz w:val="12"/>
          <w:szCs w:val="12"/>
          <w:highlight w:val="none"/>
        </w:rPr>
        <w:tab/>
      </w:r>
      <w:r>
        <w:rPr>
          <w:sz w:val="12"/>
          <w:szCs w:val="12"/>
          <w:highlight w:val="none"/>
        </w:rPr>
        <w:t>11.11.2013</w:t>
      </w:r>
      <w:r>
        <w:rPr>
          <w:sz w:val="12"/>
          <w:szCs w:val="12"/>
          <w:highlight w:val="none"/>
        </w:rPr>
        <w:tab/>
      </w:r>
      <w:r>
        <w:rPr>
          <w:sz w:val="12"/>
          <w:szCs w:val="12"/>
          <w:highlight w:val="none"/>
        </w:rPr>
        <w:tab/>
      </w:r>
      <w:r>
        <w:rPr>
          <w:sz w:val="12"/>
          <w:szCs w:val="12"/>
          <w:highlight w:val="none"/>
        </w:rPr>
        <w:t>section 1.2.3 adapted for RAN #62</w:t>
      </w:r>
    </w:p>
    <w:p>
      <w:pPr>
        <w:pStyle w:val="60"/>
        <w:rPr>
          <w:sz w:val="12"/>
          <w:szCs w:val="12"/>
          <w:highlight w:val="none"/>
        </w:rPr>
      </w:pPr>
      <w:r>
        <w:rPr>
          <w:sz w:val="12"/>
          <w:szCs w:val="12"/>
          <w:highlight w:val="none"/>
        </w:rPr>
        <w:t>v03</w:t>
      </w:r>
      <w:r>
        <w:rPr>
          <w:sz w:val="12"/>
          <w:szCs w:val="12"/>
          <w:highlight w:val="none"/>
        </w:rPr>
        <w:tab/>
      </w:r>
      <w:r>
        <w:rPr>
          <w:sz w:val="12"/>
          <w:szCs w:val="12"/>
          <w:highlight w:val="none"/>
        </w:rPr>
        <w:t>11.08.2013</w:t>
      </w:r>
      <w:r>
        <w:rPr>
          <w:sz w:val="12"/>
          <w:szCs w:val="12"/>
          <w:highlight w:val="none"/>
        </w:rPr>
        <w:tab/>
      </w:r>
      <w:r>
        <w:rPr>
          <w:sz w:val="12"/>
          <w:szCs w:val="12"/>
          <w:highlight w:val="none"/>
        </w:rPr>
        <w:tab/>
      </w:r>
      <w:r>
        <w:rPr>
          <w:sz w:val="12"/>
          <w:szCs w:val="12"/>
          <w:highlight w:val="none"/>
        </w:rPr>
        <w:t>section 1.2.3 added on time budget</w:t>
      </w:r>
    </w:p>
    <w:p>
      <w:pPr>
        <w:pStyle w:val="60"/>
        <w:rPr>
          <w:sz w:val="12"/>
          <w:szCs w:val="12"/>
          <w:highlight w:val="none"/>
        </w:rPr>
      </w:pPr>
      <w:r>
        <w:rPr>
          <w:sz w:val="12"/>
          <w:szCs w:val="12"/>
          <w:highlight w:val="none"/>
        </w:rPr>
        <w:t>v02</w:t>
      </w:r>
      <w:r>
        <w:rPr>
          <w:sz w:val="12"/>
          <w:szCs w:val="12"/>
          <w:highlight w:val="none"/>
        </w:rPr>
        <w:tab/>
      </w:r>
      <w:r>
        <w:rPr>
          <w:sz w:val="12"/>
          <w:szCs w:val="12"/>
          <w:highlight w:val="none"/>
        </w:rPr>
        <w:t>07.05.2010</w:t>
      </w:r>
      <w:r>
        <w:rPr>
          <w:sz w:val="12"/>
          <w:szCs w:val="12"/>
          <w:highlight w:val="none"/>
        </w:rPr>
        <w:tab/>
      </w:r>
      <w:r>
        <w:rPr>
          <w:sz w:val="12"/>
          <w:szCs w:val="12"/>
          <w:highlight w:val="none"/>
        </w:rPr>
        <w:tab/>
      </w:r>
      <w:r>
        <w:rPr>
          <w:sz w:val="12"/>
          <w:szCs w:val="12"/>
          <w:highlight w:val="none"/>
        </w:rPr>
        <w:t>history added, some spelling corrections</w:t>
      </w:r>
    </w:p>
    <w:p>
      <w:pPr>
        <w:pStyle w:val="60"/>
        <w:rPr>
          <w:sz w:val="12"/>
          <w:szCs w:val="12"/>
          <w:highlight w:val="none"/>
        </w:rPr>
      </w:pPr>
      <w:r>
        <w:rPr>
          <w:sz w:val="12"/>
          <w:szCs w:val="12"/>
          <w:highlight w:val="none"/>
        </w:rPr>
        <w:t>v01</w:t>
      </w:r>
      <w:r>
        <w:rPr>
          <w:sz w:val="12"/>
          <w:szCs w:val="12"/>
          <w:highlight w:val="none"/>
        </w:rPr>
        <w:tab/>
      </w:r>
      <w:r>
        <w:rPr>
          <w:sz w:val="12"/>
          <w:szCs w:val="12"/>
          <w:highlight w:val="none"/>
        </w:rPr>
        <w:t>13.11.2009</w:t>
      </w:r>
      <w:r>
        <w:rPr>
          <w:sz w:val="12"/>
          <w:szCs w:val="12"/>
          <w:highlight w:val="none"/>
        </w:rPr>
        <w:tab/>
      </w:r>
      <w:r>
        <w:rPr>
          <w:sz w:val="12"/>
          <w:szCs w:val="12"/>
          <w:highlight w:val="none"/>
        </w:rPr>
        <w:tab/>
      </w:r>
      <w:r>
        <w:rPr>
          <w:sz w:val="12"/>
          <w:szCs w:val="12"/>
          <w:highlight w:val="none"/>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FEC3A6"/>
    <w:multiLevelType w:val="singleLevel"/>
    <w:tmpl w:val="82FEC3A6"/>
    <w:lvl w:ilvl="0" w:tentative="0">
      <w:start w:val="1"/>
      <w:numFmt w:val="decimal"/>
      <w:lvlText w:val="[%1]"/>
      <w:lvlJc w:val="left"/>
    </w:lvl>
  </w:abstractNum>
  <w:abstractNum w:abstractNumId="1">
    <w:nsid w:val="9C697D8E"/>
    <w:multiLevelType w:val="singleLevel"/>
    <w:tmpl w:val="9C697D8E"/>
    <w:lvl w:ilvl="0" w:tentative="0">
      <w:start w:val="1"/>
      <w:numFmt w:val="decimal"/>
      <w:lvlText w:val="[%1]"/>
      <w:lvlJc w:val="left"/>
    </w:lvl>
  </w:abstractNum>
  <w:abstractNum w:abstractNumId="2">
    <w:nsid w:val="C2C3ADDB"/>
    <w:multiLevelType w:val="singleLevel"/>
    <w:tmpl w:val="C2C3ADDB"/>
    <w:lvl w:ilvl="0" w:tentative="0">
      <w:start w:val="1"/>
      <w:numFmt w:val="decimal"/>
      <w:lvlText w:val="[%1]"/>
      <w:lvlJc w:val="left"/>
    </w:lvl>
  </w:abstractNum>
  <w:abstractNum w:abstractNumId="3">
    <w:nsid w:val="D2F3E906"/>
    <w:multiLevelType w:val="singleLevel"/>
    <w:tmpl w:val="D2F3E906"/>
    <w:lvl w:ilvl="0" w:tentative="0">
      <w:start w:val="1"/>
      <w:numFmt w:val="decimal"/>
      <w:lvlText w:val="[%1]"/>
      <w:lvlJc w:val="left"/>
      <w:rPr>
        <w:rFonts w:hint="default"/>
        <w:highlight w:val="none"/>
      </w:rPr>
    </w:lvl>
  </w:abstractNum>
  <w:abstractNum w:abstractNumId="4">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5">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6">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2376A44"/>
    <w:multiLevelType w:val="singleLevel"/>
    <w:tmpl w:val="42376A44"/>
    <w:lvl w:ilvl="0" w:tentative="0">
      <w:start w:val="1"/>
      <w:numFmt w:val="decimal"/>
      <w:lvlText w:val="[%1]"/>
      <w:lvlJc w:val="left"/>
    </w:lvl>
  </w:abstractNum>
  <w:abstractNum w:abstractNumId="8">
    <w:nsid w:val="54218F89"/>
    <w:multiLevelType w:val="singleLevel"/>
    <w:tmpl w:val="54218F89"/>
    <w:lvl w:ilvl="0" w:tentative="0">
      <w:start w:val="1"/>
      <w:numFmt w:val="decimal"/>
      <w:lvlText w:val="[%1]"/>
      <w:lvlJc w:val="left"/>
    </w:lvl>
  </w:abstractNum>
  <w:abstractNum w:abstractNumId="9">
    <w:nsid w:val="5DF70F4A"/>
    <w:multiLevelType w:val="singleLevel"/>
    <w:tmpl w:val="5DF70F4A"/>
    <w:lvl w:ilvl="0" w:tentative="0">
      <w:start w:val="1"/>
      <w:numFmt w:val="decimal"/>
      <w:lvlText w:val="[%1]"/>
      <w:lvlJc w:val="left"/>
    </w:lvl>
  </w:abstractNum>
  <w:abstractNum w:abstractNumId="10">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0"/>
  </w:num>
  <w:num w:numId="3">
    <w:abstractNumId w:val="11"/>
  </w:num>
  <w:num w:numId="4">
    <w:abstractNumId w:val="4"/>
  </w:num>
  <w:num w:numId="5">
    <w:abstractNumId w:val="6"/>
  </w:num>
  <w:num w:numId="6">
    <w:abstractNumId w:val="7"/>
  </w:num>
  <w:num w:numId="7">
    <w:abstractNumId w:val="8"/>
  </w:num>
  <w:num w:numId="8">
    <w:abstractNumId w:val="2"/>
  </w:num>
  <w:num w:numId="9">
    <w:abstractNumId w:val="0"/>
  </w:num>
  <w:num w:numId="10">
    <w:abstractNumId w:val="3"/>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doNotDisplayPageBoundaries w:val="1"/>
  <w:bordersDoNotSurroundHeader w:val="0"/>
  <w:bordersDoNotSurroundFooter w:val="0"/>
  <w:linkStyles/>
  <w:doNotTrackFormatting/>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F35"/>
    <w:rsid w:val="00006259"/>
    <w:rsid w:val="00007BD0"/>
    <w:rsid w:val="00011C3B"/>
    <w:rsid w:val="000156ED"/>
    <w:rsid w:val="00022B68"/>
    <w:rsid w:val="000276C5"/>
    <w:rsid w:val="00027EED"/>
    <w:rsid w:val="00030C7C"/>
    <w:rsid w:val="00032F36"/>
    <w:rsid w:val="000353CD"/>
    <w:rsid w:val="00040865"/>
    <w:rsid w:val="000409B2"/>
    <w:rsid w:val="00040D09"/>
    <w:rsid w:val="0004456C"/>
    <w:rsid w:val="000507D9"/>
    <w:rsid w:val="00052069"/>
    <w:rsid w:val="0005259B"/>
    <w:rsid w:val="000530A4"/>
    <w:rsid w:val="00053FEE"/>
    <w:rsid w:val="000608BD"/>
    <w:rsid w:val="00060AE4"/>
    <w:rsid w:val="000647A5"/>
    <w:rsid w:val="00065909"/>
    <w:rsid w:val="00067EE4"/>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245D"/>
    <w:rsid w:val="000F6C1C"/>
    <w:rsid w:val="00101FF9"/>
    <w:rsid w:val="00104C0B"/>
    <w:rsid w:val="00112D35"/>
    <w:rsid w:val="001139D7"/>
    <w:rsid w:val="001154BF"/>
    <w:rsid w:val="00116F4B"/>
    <w:rsid w:val="0012446C"/>
    <w:rsid w:val="00124753"/>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85EAD"/>
    <w:rsid w:val="001A1F4C"/>
    <w:rsid w:val="001A248F"/>
    <w:rsid w:val="001A3B5F"/>
    <w:rsid w:val="001A40D5"/>
    <w:rsid w:val="001B0113"/>
    <w:rsid w:val="001B343A"/>
    <w:rsid w:val="001B3C33"/>
    <w:rsid w:val="001B5CA8"/>
    <w:rsid w:val="001C15F4"/>
    <w:rsid w:val="001C1F30"/>
    <w:rsid w:val="001C3EE5"/>
    <w:rsid w:val="001C4490"/>
    <w:rsid w:val="001C49FB"/>
    <w:rsid w:val="001D2C1A"/>
    <w:rsid w:val="001D3BA2"/>
    <w:rsid w:val="001D44B7"/>
    <w:rsid w:val="001E0075"/>
    <w:rsid w:val="001E1CAE"/>
    <w:rsid w:val="001F1B1F"/>
    <w:rsid w:val="001F2610"/>
    <w:rsid w:val="001F2A20"/>
    <w:rsid w:val="001F486F"/>
    <w:rsid w:val="00201D8E"/>
    <w:rsid w:val="00207857"/>
    <w:rsid w:val="00207DC4"/>
    <w:rsid w:val="00211A81"/>
    <w:rsid w:val="002130FF"/>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A732C"/>
    <w:rsid w:val="002B36C1"/>
    <w:rsid w:val="002D645A"/>
    <w:rsid w:val="002E5245"/>
    <w:rsid w:val="002E75FB"/>
    <w:rsid w:val="002F5C28"/>
    <w:rsid w:val="002F6A3D"/>
    <w:rsid w:val="00301B7A"/>
    <w:rsid w:val="00303B02"/>
    <w:rsid w:val="00306D59"/>
    <w:rsid w:val="0031719C"/>
    <w:rsid w:val="0032503A"/>
    <w:rsid w:val="00325EE1"/>
    <w:rsid w:val="00326D21"/>
    <w:rsid w:val="003325BA"/>
    <w:rsid w:val="00334CF1"/>
    <w:rsid w:val="003357C0"/>
    <w:rsid w:val="00336AC7"/>
    <w:rsid w:val="00342C6A"/>
    <w:rsid w:val="00344114"/>
    <w:rsid w:val="00344D60"/>
    <w:rsid w:val="00346477"/>
    <w:rsid w:val="00347CB0"/>
    <w:rsid w:val="0035316B"/>
    <w:rsid w:val="0035791E"/>
    <w:rsid w:val="003616B9"/>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4FFE"/>
    <w:rsid w:val="003A5A46"/>
    <w:rsid w:val="003A64EE"/>
    <w:rsid w:val="003B24AF"/>
    <w:rsid w:val="003B612F"/>
    <w:rsid w:val="003B7182"/>
    <w:rsid w:val="003B7727"/>
    <w:rsid w:val="003C2699"/>
    <w:rsid w:val="003D307F"/>
    <w:rsid w:val="003D5036"/>
    <w:rsid w:val="003D7271"/>
    <w:rsid w:val="003D764D"/>
    <w:rsid w:val="003E0593"/>
    <w:rsid w:val="003E3A1A"/>
    <w:rsid w:val="003E48D8"/>
    <w:rsid w:val="003E7A57"/>
    <w:rsid w:val="003F181F"/>
    <w:rsid w:val="0040091C"/>
    <w:rsid w:val="00401AC0"/>
    <w:rsid w:val="00403A00"/>
    <w:rsid w:val="00406B20"/>
    <w:rsid w:val="00406D7A"/>
    <w:rsid w:val="00410593"/>
    <w:rsid w:val="00410CA5"/>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14B3"/>
    <w:rsid w:val="00493370"/>
    <w:rsid w:val="00496099"/>
    <w:rsid w:val="004967C7"/>
    <w:rsid w:val="00497727"/>
    <w:rsid w:val="00497F23"/>
    <w:rsid w:val="004B15B8"/>
    <w:rsid w:val="004B2602"/>
    <w:rsid w:val="004B360A"/>
    <w:rsid w:val="004B566C"/>
    <w:rsid w:val="004B6542"/>
    <w:rsid w:val="004B6BDD"/>
    <w:rsid w:val="004B7B48"/>
    <w:rsid w:val="004C19EA"/>
    <w:rsid w:val="004C450F"/>
    <w:rsid w:val="004C638C"/>
    <w:rsid w:val="004D3F3A"/>
    <w:rsid w:val="004D4AB1"/>
    <w:rsid w:val="004E35F4"/>
    <w:rsid w:val="004E7E06"/>
    <w:rsid w:val="004F218A"/>
    <w:rsid w:val="004F26A7"/>
    <w:rsid w:val="004F2B72"/>
    <w:rsid w:val="004F77C9"/>
    <w:rsid w:val="00501848"/>
    <w:rsid w:val="0050334E"/>
    <w:rsid w:val="00505387"/>
    <w:rsid w:val="00511412"/>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116C"/>
    <w:rsid w:val="005641BD"/>
    <w:rsid w:val="00564C0E"/>
    <w:rsid w:val="00567CCA"/>
    <w:rsid w:val="005701AE"/>
    <w:rsid w:val="00572B54"/>
    <w:rsid w:val="0057428D"/>
    <w:rsid w:val="00575E4D"/>
    <w:rsid w:val="005776DD"/>
    <w:rsid w:val="00581A22"/>
    <w:rsid w:val="00581B9D"/>
    <w:rsid w:val="00582117"/>
    <w:rsid w:val="00582404"/>
    <w:rsid w:val="0058478F"/>
    <w:rsid w:val="00587B66"/>
    <w:rsid w:val="00591815"/>
    <w:rsid w:val="00592742"/>
    <w:rsid w:val="00593315"/>
    <w:rsid w:val="00596A07"/>
    <w:rsid w:val="00597AB8"/>
    <w:rsid w:val="00597F11"/>
    <w:rsid w:val="005A115C"/>
    <w:rsid w:val="005A170D"/>
    <w:rsid w:val="005A6C8B"/>
    <w:rsid w:val="005A6C96"/>
    <w:rsid w:val="005B0B44"/>
    <w:rsid w:val="005B395A"/>
    <w:rsid w:val="005C088D"/>
    <w:rsid w:val="005C3267"/>
    <w:rsid w:val="005C438A"/>
    <w:rsid w:val="005C78F3"/>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37FD5"/>
    <w:rsid w:val="006458DF"/>
    <w:rsid w:val="00646F53"/>
    <w:rsid w:val="00650830"/>
    <w:rsid w:val="00650D52"/>
    <w:rsid w:val="006615B2"/>
    <w:rsid w:val="00662313"/>
    <w:rsid w:val="00663614"/>
    <w:rsid w:val="00673911"/>
    <w:rsid w:val="00676763"/>
    <w:rsid w:val="00682E5B"/>
    <w:rsid w:val="006870C9"/>
    <w:rsid w:val="00691684"/>
    <w:rsid w:val="006958F1"/>
    <w:rsid w:val="006A09C6"/>
    <w:rsid w:val="006A10B0"/>
    <w:rsid w:val="006A2D41"/>
    <w:rsid w:val="006A3ADF"/>
    <w:rsid w:val="006A41A7"/>
    <w:rsid w:val="006A5BA4"/>
    <w:rsid w:val="006A7809"/>
    <w:rsid w:val="006A7BCB"/>
    <w:rsid w:val="006B039D"/>
    <w:rsid w:val="006B4C1E"/>
    <w:rsid w:val="006C090F"/>
    <w:rsid w:val="006C4E32"/>
    <w:rsid w:val="006C56D8"/>
    <w:rsid w:val="006D07AE"/>
    <w:rsid w:val="006D1C93"/>
    <w:rsid w:val="006D1F52"/>
    <w:rsid w:val="006D69C9"/>
    <w:rsid w:val="006D7232"/>
    <w:rsid w:val="006E3421"/>
    <w:rsid w:val="006E3F11"/>
    <w:rsid w:val="006E4FBE"/>
    <w:rsid w:val="006E5BCE"/>
    <w:rsid w:val="006F433B"/>
    <w:rsid w:val="006F6569"/>
    <w:rsid w:val="006F774F"/>
    <w:rsid w:val="007005F2"/>
    <w:rsid w:val="00701410"/>
    <w:rsid w:val="0070374F"/>
    <w:rsid w:val="007065AF"/>
    <w:rsid w:val="00710146"/>
    <w:rsid w:val="007113A1"/>
    <w:rsid w:val="00721CF6"/>
    <w:rsid w:val="00723E46"/>
    <w:rsid w:val="00724199"/>
    <w:rsid w:val="00733826"/>
    <w:rsid w:val="0073613C"/>
    <w:rsid w:val="00737F80"/>
    <w:rsid w:val="0074481E"/>
    <w:rsid w:val="0075188E"/>
    <w:rsid w:val="0076128E"/>
    <w:rsid w:val="0076325A"/>
    <w:rsid w:val="00764512"/>
    <w:rsid w:val="00765AB8"/>
    <w:rsid w:val="00766CFB"/>
    <w:rsid w:val="0077007D"/>
    <w:rsid w:val="00774816"/>
    <w:rsid w:val="00774E0A"/>
    <w:rsid w:val="00774EA6"/>
    <w:rsid w:val="007805B4"/>
    <w:rsid w:val="007811A5"/>
    <w:rsid w:val="007816FF"/>
    <w:rsid w:val="00781722"/>
    <w:rsid w:val="00783B44"/>
    <w:rsid w:val="00785028"/>
    <w:rsid w:val="007856B4"/>
    <w:rsid w:val="007915D2"/>
    <w:rsid w:val="00792D95"/>
    <w:rsid w:val="007A28B7"/>
    <w:rsid w:val="007A3A5A"/>
    <w:rsid w:val="007A4370"/>
    <w:rsid w:val="007A7F93"/>
    <w:rsid w:val="007B589E"/>
    <w:rsid w:val="007C2560"/>
    <w:rsid w:val="007C47D4"/>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76FC9"/>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E4B52"/>
    <w:rsid w:val="008F4C3A"/>
    <w:rsid w:val="008F4EAF"/>
    <w:rsid w:val="008F53F2"/>
    <w:rsid w:val="00900AE8"/>
    <w:rsid w:val="00900DAD"/>
    <w:rsid w:val="00903CAC"/>
    <w:rsid w:val="00907E8D"/>
    <w:rsid w:val="00910091"/>
    <w:rsid w:val="0091257F"/>
    <w:rsid w:val="00912EAA"/>
    <w:rsid w:val="0091408E"/>
    <w:rsid w:val="00917DD3"/>
    <w:rsid w:val="009214DB"/>
    <w:rsid w:val="0092762F"/>
    <w:rsid w:val="009279C8"/>
    <w:rsid w:val="00932994"/>
    <w:rsid w:val="00934CF3"/>
    <w:rsid w:val="00935409"/>
    <w:rsid w:val="009378CA"/>
    <w:rsid w:val="0095025E"/>
    <w:rsid w:val="00955C4C"/>
    <w:rsid w:val="00960138"/>
    <w:rsid w:val="00960582"/>
    <w:rsid w:val="00967129"/>
    <w:rsid w:val="00982186"/>
    <w:rsid w:val="009823B1"/>
    <w:rsid w:val="0099165D"/>
    <w:rsid w:val="009933B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C7713"/>
    <w:rsid w:val="009D2AB1"/>
    <w:rsid w:val="009E07C3"/>
    <w:rsid w:val="009E209B"/>
    <w:rsid w:val="009E2874"/>
    <w:rsid w:val="009F0747"/>
    <w:rsid w:val="009F2FC8"/>
    <w:rsid w:val="00A03514"/>
    <w:rsid w:val="00A0734A"/>
    <w:rsid w:val="00A119DF"/>
    <w:rsid w:val="00A17079"/>
    <w:rsid w:val="00A1731A"/>
    <w:rsid w:val="00A223FD"/>
    <w:rsid w:val="00A2578C"/>
    <w:rsid w:val="00A37A61"/>
    <w:rsid w:val="00A41D94"/>
    <w:rsid w:val="00A448C3"/>
    <w:rsid w:val="00A458D4"/>
    <w:rsid w:val="00A46FB7"/>
    <w:rsid w:val="00A51525"/>
    <w:rsid w:val="00A53118"/>
    <w:rsid w:val="00A5412E"/>
    <w:rsid w:val="00A5592E"/>
    <w:rsid w:val="00A6211B"/>
    <w:rsid w:val="00A6426B"/>
    <w:rsid w:val="00A66248"/>
    <w:rsid w:val="00A76B6F"/>
    <w:rsid w:val="00A83F29"/>
    <w:rsid w:val="00A86AB5"/>
    <w:rsid w:val="00A878BD"/>
    <w:rsid w:val="00A960E0"/>
    <w:rsid w:val="00A97226"/>
    <w:rsid w:val="00A97606"/>
    <w:rsid w:val="00AA0E64"/>
    <w:rsid w:val="00AA0ED2"/>
    <w:rsid w:val="00AA142F"/>
    <w:rsid w:val="00AA2276"/>
    <w:rsid w:val="00AA312F"/>
    <w:rsid w:val="00AA53DB"/>
    <w:rsid w:val="00AA55AC"/>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49EB"/>
    <w:rsid w:val="00AF7BAA"/>
    <w:rsid w:val="00B00BBE"/>
    <w:rsid w:val="00B05DF3"/>
    <w:rsid w:val="00B10710"/>
    <w:rsid w:val="00B16F30"/>
    <w:rsid w:val="00B208FA"/>
    <w:rsid w:val="00B240F9"/>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5B91"/>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3494"/>
    <w:rsid w:val="00C445AD"/>
    <w:rsid w:val="00C44CBA"/>
    <w:rsid w:val="00C458F0"/>
    <w:rsid w:val="00C4666A"/>
    <w:rsid w:val="00C479A3"/>
    <w:rsid w:val="00C50477"/>
    <w:rsid w:val="00C5579F"/>
    <w:rsid w:val="00C55C4D"/>
    <w:rsid w:val="00C568AF"/>
    <w:rsid w:val="00C63B59"/>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C65BE"/>
    <w:rsid w:val="00CD5E4B"/>
    <w:rsid w:val="00CD7F1D"/>
    <w:rsid w:val="00CE2E10"/>
    <w:rsid w:val="00CE5138"/>
    <w:rsid w:val="00CF392B"/>
    <w:rsid w:val="00CF5E71"/>
    <w:rsid w:val="00CF7079"/>
    <w:rsid w:val="00CF7FAC"/>
    <w:rsid w:val="00D03C50"/>
    <w:rsid w:val="00D11366"/>
    <w:rsid w:val="00D160C1"/>
    <w:rsid w:val="00D17794"/>
    <w:rsid w:val="00D17911"/>
    <w:rsid w:val="00D215B2"/>
    <w:rsid w:val="00D216AC"/>
    <w:rsid w:val="00D22398"/>
    <w:rsid w:val="00D33844"/>
    <w:rsid w:val="00D35E6C"/>
    <w:rsid w:val="00D37078"/>
    <w:rsid w:val="00D436CF"/>
    <w:rsid w:val="00D45B2F"/>
    <w:rsid w:val="00D46E88"/>
    <w:rsid w:val="00D50675"/>
    <w:rsid w:val="00D50D51"/>
    <w:rsid w:val="00D534A6"/>
    <w:rsid w:val="00D557C9"/>
    <w:rsid w:val="00D579DB"/>
    <w:rsid w:val="00D60BD6"/>
    <w:rsid w:val="00D613A9"/>
    <w:rsid w:val="00D70D86"/>
    <w:rsid w:val="00D760B6"/>
    <w:rsid w:val="00D76BA4"/>
    <w:rsid w:val="00D8021D"/>
    <w:rsid w:val="00D82D10"/>
    <w:rsid w:val="00D85B76"/>
    <w:rsid w:val="00D86784"/>
    <w:rsid w:val="00D901DB"/>
    <w:rsid w:val="00D91F6B"/>
    <w:rsid w:val="00D933FA"/>
    <w:rsid w:val="00D94A2F"/>
    <w:rsid w:val="00D95B60"/>
    <w:rsid w:val="00D977C2"/>
    <w:rsid w:val="00DB4375"/>
    <w:rsid w:val="00DC059B"/>
    <w:rsid w:val="00DD29D8"/>
    <w:rsid w:val="00DD64C2"/>
    <w:rsid w:val="00DD750A"/>
    <w:rsid w:val="00DE1061"/>
    <w:rsid w:val="00DE2A08"/>
    <w:rsid w:val="00DE2B4D"/>
    <w:rsid w:val="00DE2D88"/>
    <w:rsid w:val="00DF7E62"/>
    <w:rsid w:val="00E00E44"/>
    <w:rsid w:val="00E01300"/>
    <w:rsid w:val="00E049A8"/>
    <w:rsid w:val="00E07625"/>
    <w:rsid w:val="00E12ECB"/>
    <w:rsid w:val="00E14448"/>
    <w:rsid w:val="00E1451F"/>
    <w:rsid w:val="00E15877"/>
    <w:rsid w:val="00E15A72"/>
    <w:rsid w:val="00E15B51"/>
    <w:rsid w:val="00E15E28"/>
    <w:rsid w:val="00E16577"/>
    <w:rsid w:val="00E23B34"/>
    <w:rsid w:val="00E333EF"/>
    <w:rsid w:val="00E36051"/>
    <w:rsid w:val="00E4136E"/>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4713"/>
    <w:rsid w:val="00E87618"/>
    <w:rsid w:val="00E87CFA"/>
    <w:rsid w:val="00E93D77"/>
    <w:rsid w:val="00E95264"/>
    <w:rsid w:val="00E95381"/>
    <w:rsid w:val="00E9714B"/>
    <w:rsid w:val="00EA2172"/>
    <w:rsid w:val="00EA2DC1"/>
    <w:rsid w:val="00EA5E9D"/>
    <w:rsid w:val="00EB49EE"/>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67EE6"/>
    <w:rsid w:val="00F72B10"/>
    <w:rsid w:val="00F77359"/>
    <w:rsid w:val="00F77826"/>
    <w:rsid w:val="00F803A6"/>
    <w:rsid w:val="00F85457"/>
    <w:rsid w:val="00F86A73"/>
    <w:rsid w:val="00F935D0"/>
    <w:rsid w:val="00F94D79"/>
    <w:rsid w:val="00FA58DA"/>
    <w:rsid w:val="00FA795F"/>
    <w:rsid w:val="00FB1EE7"/>
    <w:rsid w:val="00FB40FF"/>
    <w:rsid w:val="00FB414E"/>
    <w:rsid w:val="00FB51D5"/>
    <w:rsid w:val="00FC026C"/>
    <w:rsid w:val="00FC345B"/>
    <w:rsid w:val="00FC5D22"/>
    <w:rsid w:val="00FD2136"/>
    <w:rsid w:val="00FD45D0"/>
    <w:rsid w:val="00FD4E37"/>
    <w:rsid w:val="00FD6FDD"/>
    <w:rsid w:val="00FE0838"/>
    <w:rsid w:val="00FE2E6A"/>
    <w:rsid w:val="00FE3371"/>
    <w:rsid w:val="00FE6898"/>
    <w:rsid w:val="020D62C5"/>
    <w:rsid w:val="027C12F0"/>
    <w:rsid w:val="041232C2"/>
    <w:rsid w:val="04251DE3"/>
    <w:rsid w:val="05346611"/>
    <w:rsid w:val="05B84D2F"/>
    <w:rsid w:val="077546D3"/>
    <w:rsid w:val="08C52D6F"/>
    <w:rsid w:val="09610307"/>
    <w:rsid w:val="0A561807"/>
    <w:rsid w:val="0A5C4C75"/>
    <w:rsid w:val="0A714452"/>
    <w:rsid w:val="0AEF497D"/>
    <w:rsid w:val="0BF92C62"/>
    <w:rsid w:val="0CCD17D9"/>
    <w:rsid w:val="0D661ACC"/>
    <w:rsid w:val="0D8624A6"/>
    <w:rsid w:val="10C4050C"/>
    <w:rsid w:val="11C74327"/>
    <w:rsid w:val="134C5737"/>
    <w:rsid w:val="13A96C1F"/>
    <w:rsid w:val="13E00E92"/>
    <w:rsid w:val="13E27B34"/>
    <w:rsid w:val="13F913FB"/>
    <w:rsid w:val="15CF0C2F"/>
    <w:rsid w:val="16680EBF"/>
    <w:rsid w:val="17170FF0"/>
    <w:rsid w:val="172B29B5"/>
    <w:rsid w:val="1752544D"/>
    <w:rsid w:val="17BF48B7"/>
    <w:rsid w:val="17F80A4D"/>
    <w:rsid w:val="18FB5BFD"/>
    <w:rsid w:val="19D52A0C"/>
    <w:rsid w:val="1A234B48"/>
    <w:rsid w:val="1AA34E40"/>
    <w:rsid w:val="1AAD533D"/>
    <w:rsid w:val="1B471EE3"/>
    <w:rsid w:val="1D6E25D7"/>
    <w:rsid w:val="1D7B41ED"/>
    <w:rsid w:val="1D7B582E"/>
    <w:rsid w:val="1DDD213A"/>
    <w:rsid w:val="1E4D1D12"/>
    <w:rsid w:val="209434C3"/>
    <w:rsid w:val="223B6499"/>
    <w:rsid w:val="22C30655"/>
    <w:rsid w:val="22C95DFC"/>
    <w:rsid w:val="2318410F"/>
    <w:rsid w:val="24BF7F14"/>
    <w:rsid w:val="257F3C6D"/>
    <w:rsid w:val="259F532A"/>
    <w:rsid w:val="260D46A5"/>
    <w:rsid w:val="26DF273B"/>
    <w:rsid w:val="27B45DAA"/>
    <w:rsid w:val="28A33A5D"/>
    <w:rsid w:val="29047A6F"/>
    <w:rsid w:val="29346695"/>
    <w:rsid w:val="298F20C5"/>
    <w:rsid w:val="29B82438"/>
    <w:rsid w:val="29D323A4"/>
    <w:rsid w:val="29FC6EDA"/>
    <w:rsid w:val="2AB5191D"/>
    <w:rsid w:val="2AC84DA8"/>
    <w:rsid w:val="2B491CB8"/>
    <w:rsid w:val="2BD51B9B"/>
    <w:rsid w:val="2BDF6E9E"/>
    <w:rsid w:val="2BE05BC7"/>
    <w:rsid w:val="2C446BA3"/>
    <w:rsid w:val="2DB1478E"/>
    <w:rsid w:val="2DE35FF4"/>
    <w:rsid w:val="2E9E478E"/>
    <w:rsid w:val="2EFC06C5"/>
    <w:rsid w:val="30B56ABF"/>
    <w:rsid w:val="315839B4"/>
    <w:rsid w:val="31633352"/>
    <w:rsid w:val="31A17397"/>
    <w:rsid w:val="325E76C2"/>
    <w:rsid w:val="33A906AE"/>
    <w:rsid w:val="35C14E2B"/>
    <w:rsid w:val="36156987"/>
    <w:rsid w:val="36C0314D"/>
    <w:rsid w:val="37566FA6"/>
    <w:rsid w:val="37A043C9"/>
    <w:rsid w:val="37A874BA"/>
    <w:rsid w:val="381A7C1A"/>
    <w:rsid w:val="38AE07B8"/>
    <w:rsid w:val="38D35E9A"/>
    <w:rsid w:val="396F6ADE"/>
    <w:rsid w:val="3A1B33EE"/>
    <w:rsid w:val="3B981C3F"/>
    <w:rsid w:val="3C287A36"/>
    <w:rsid w:val="3D147FA9"/>
    <w:rsid w:val="3D21592B"/>
    <w:rsid w:val="3D3A77C4"/>
    <w:rsid w:val="3E772A67"/>
    <w:rsid w:val="3E871D4E"/>
    <w:rsid w:val="3EED438A"/>
    <w:rsid w:val="3F9404A9"/>
    <w:rsid w:val="40CF2C10"/>
    <w:rsid w:val="41192D48"/>
    <w:rsid w:val="41780576"/>
    <w:rsid w:val="41917CA2"/>
    <w:rsid w:val="41A66DEA"/>
    <w:rsid w:val="424F6933"/>
    <w:rsid w:val="433F3137"/>
    <w:rsid w:val="43F27C58"/>
    <w:rsid w:val="43FA1C50"/>
    <w:rsid w:val="43FC09FB"/>
    <w:rsid w:val="44011FBC"/>
    <w:rsid w:val="446B3DCC"/>
    <w:rsid w:val="44A863C7"/>
    <w:rsid w:val="44A86E8E"/>
    <w:rsid w:val="457B4F58"/>
    <w:rsid w:val="45C52B27"/>
    <w:rsid w:val="465D6A56"/>
    <w:rsid w:val="46A731FE"/>
    <w:rsid w:val="494E2AE2"/>
    <w:rsid w:val="49CA28CA"/>
    <w:rsid w:val="49F22E5E"/>
    <w:rsid w:val="4A18381B"/>
    <w:rsid w:val="4A9956F2"/>
    <w:rsid w:val="4AFB7575"/>
    <w:rsid w:val="4B686E57"/>
    <w:rsid w:val="4BAE1173"/>
    <w:rsid w:val="4BD612AA"/>
    <w:rsid w:val="4CAA3C3C"/>
    <w:rsid w:val="4E090B0D"/>
    <w:rsid w:val="4EC57728"/>
    <w:rsid w:val="4FBF2598"/>
    <w:rsid w:val="505C15B7"/>
    <w:rsid w:val="50DE3CF0"/>
    <w:rsid w:val="511A161C"/>
    <w:rsid w:val="514873A9"/>
    <w:rsid w:val="51867FC6"/>
    <w:rsid w:val="519E4702"/>
    <w:rsid w:val="52855072"/>
    <w:rsid w:val="528928B2"/>
    <w:rsid w:val="52E743A7"/>
    <w:rsid w:val="536B3BD4"/>
    <w:rsid w:val="53B04C0A"/>
    <w:rsid w:val="54037BF9"/>
    <w:rsid w:val="550C4193"/>
    <w:rsid w:val="553D0DE7"/>
    <w:rsid w:val="55D43E1D"/>
    <w:rsid w:val="56417186"/>
    <w:rsid w:val="565500FC"/>
    <w:rsid w:val="56693C0D"/>
    <w:rsid w:val="56AC1BD2"/>
    <w:rsid w:val="56ED686C"/>
    <w:rsid w:val="577B4EB1"/>
    <w:rsid w:val="57803D0C"/>
    <w:rsid w:val="57E67271"/>
    <w:rsid w:val="58140590"/>
    <w:rsid w:val="583037FC"/>
    <w:rsid w:val="58A6789C"/>
    <w:rsid w:val="59DC06D5"/>
    <w:rsid w:val="5A764C5D"/>
    <w:rsid w:val="5B140EFE"/>
    <w:rsid w:val="5B235AB6"/>
    <w:rsid w:val="5B425E87"/>
    <w:rsid w:val="5C0442B4"/>
    <w:rsid w:val="5C15494A"/>
    <w:rsid w:val="5C937AAA"/>
    <w:rsid w:val="5CE369BD"/>
    <w:rsid w:val="5CE94A8C"/>
    <w:rsid w:val="5D292E01"/>
    <w:rsid w:val="5D3E5F1D"/>
    <w:rsid w:val="5D936419"/>
    <w:rsid w:val="5DE70B6F"/>
    <w:rsid w:val="5EE914C3"/>
    <w:rsid w:val="5F8B3708"/>
    <w:rsid w:val="603B48EF"/>
    <w:rsid w:val="60642DCD"/>
    <w:rsid w:val="60A245CA"/>
    <w:rsid w:val="60D90D7F"/>
    <w:rsid w:val="6104617A"/>
    <w:rsid w:val="61D74375"/>
    <w:rsid w:val="622A3A31"/>
    <w:rsid w:val="625D00A5"/>
    <w:rsid w:val="642E000F"/>
    <w:rsid w:val="64854DD4"/>
    <w:rsid w:val="64BC5151"/>
    <w:rsid w:val="65963181"/>
    <w:rsid w:val="65C130BB"/>
    <w:rsid w:val="665C1124"/>
    <w:rsid w:val="66F1329B"/>
    <w:rsid w:val="67643386"/>
    <w:rsid w:val="67FC2262"/>
    <w:rsid w:val="68611741"/>
    <w:rsid w:val="69073501"/>
    <w:rsid w:val="69132569"/>
    <w:rsid w:val="69B85AE0"/>
    <w:rsid w:val="6ACA4BAE"/>
    <w:rsid w:val="6B7437DE"/>
    <w:rsid w:val="6C123B58"/>
    <w:rsid w:val="6CD90B00"/>
    <w:rsid w:val="6DB71C5D"/>
    <w:rsid w:val="6E156FA4"/>
    <w:rsid w:val="6E702B04"/>
    <w:rsid w:val="6EA46CDF"/>
    <w:rsid w:val="6ED2496B"/>
    <w:rsid w:val="6FAB6581"/>
    <w:rsid w:val="6FB03B39"/>
    <w:rsid w:val="6FD47408"/>
    <w:rsid w:val="716C4455"/>
    <w:rsid w:val="71967069"/>
    <w:rsid w:val="72DC6D08"/>
    <w:rsid w:val="733656DB"/>
    <w:rsid w:val="75CB3348"/>
    <w:rsid w:val="75FF36FE"/>
    <w:rsid w:val="76896D93"/>
    <w:rsid w:val="76D72135"/>
    <w:rsid w:val="76FF5472"/>
    <w:rsid w:val="77D210A2"/>
    <w:rsid w:val="77D5674B"/>
    <w:rsid w:val="77EF25DA"/>
    <w:rsid w:val="78657627"/>
    <w:rsid w:val="790F0AA9"/>
    <w:rsid w:val="7AA2216E"/>
    <w:rsid w:val="7AC73667"/>
    <w:rsid w:val="7B900E44"/>
    <w:rsid w:val="7C281A47"/>
    <w:rsid w:val="7CD92593"/>
    <w:rsid w:val="7DCC360E"/>
    <w:rsid w:val="7DD34A51"/>
    <w:rsid w:val="7DD85694"/>
    <w:rsid w:val="7EDE51CE"/>
    <w:rsid w:val="7F927FB6"/>
    <w:rsid w:val="7FA1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Char"/>
    <w:link w:val="32"/>
    <w:qFormat/>
    <w:uiPriority w:val="0"/>
    <w:rPr>
      <w:rFonts w:eastAsia="MS Gothic"/>
      <w:sz w:val="24"/>
      <w:lang w:val="en-GB"/>
    </w:rPr>
  </w:style>
  <w:style w:type="character" w:customStyle="1" w:styleId="95">
    <w:name w:val="正文文本缩进 Char"/>
    <w:link w:val="33"/>
    <w:qFormat/>
    <w:uiPriority w:val="0"/>
    <w:rPr>
      <w:rFonts w:eastAsia="MS Gothic"/>
      <w:sz w:val="24"/>
      <w:lang w:val="en-GB"/>
    </w:rPr>
  </w:style>
  <w:style w:type="character" w:customStyle="1" w:styleId="96">
    <w:name w:val="文档结构图 Char"/>
    <w:link w:val="29"/>
    <w:qFormat/>
    <w:uiPriority w:val="0"/>
    <w:rPr>
      <w:rFonts w:ascii="Tahoma" w:hAnsi="Tahoma" w:eastAsia="MS Gothic"/>
      <w:sz w:val="24"/>
      <w:shd w:val="clear" w:color="auto" w:fill="000080"/>
      <w:lang w:val="en-GB"/>
    </w:rPr>
  </w:style>
  <w:style w:type="character" w:customStyle="1" w:styleId="97">
    <w:name w:val="纯文本 Char"/>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Char"/>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Char"/>
    <w:link w:val="49"/>
    <w:qFormat/>
    <w:uiPriority w:val="0"/>
    <w:rPr>
      <w:rFonts w:ascii="Arial" w:hAnsi="Arial" w:eastAsia="MS Gothic"/>
      <w:b/>
      <w:sz w:val="24"/>
      <w:lang w:val="en-GB"/>
    </w:rPr>
  </w:style>
  <w:style w:type="character" w:customStyle="1" w:styleId="104">
    <w:name w:val="正文文本 3 Char"/>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Char"/>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Char"/>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Char"/>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zh-CN"/>
    </w:rPr>
  </w:style>
  <w:style w:type="character" w:customStyle="1" w:styleId="122">
    <w:name w:val="TAH Car"/>
    <w:link w:val="64"/>
    <w:qFormat/>
    <w:uiPriority w:val="0"/>
    <w:rPr>
      <w:rFonts w:ascii="Arial" w:hAnsi="Arial" w:eastAsia="Times New Roman"/>
      <w:b/>
      <w:sz w:val="18"/>
      <w:lang w:val="en-GB" w:eastAsia="zh-CN"/>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Char"/>
    <w:link w:val="40"/>
    <w:qFormat/>
    <w:locked/>
    <w:uiPriority w:val="0"/>
    <w:rPr>
      <w:rFonts w:ascii="Arial" w:hAnsi="Arial" w:eastAsia="Times New Roman"/>
      <w:b/>
      <w:sz w:val="18"/>
      <w:lang w:eastAsia="zh-CN"/>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Char"/>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zh-CN"/>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zh-CN"/>
    </w:rPr>
  </w:style>
  <w:style w:type="character" w:customStyle="1" w:styleId="142">
    <w:name w:val="页脚 Char"/>
    <w:link w:val="39"/>
    <w:qFormat/>
    <w:uiPriority w:val="0"/>
    <w:rPr>
      <w:rFonts w:ascii="Arial" w:hAnsi="Arial" w:eastAsia="Times New Roman"/>
      <w:b/>
      <w:i/>
      <w:sz w:val="18"/>
      <w:lang w:eastAsia="zh-CN"/>
    </w:rPr>
  </w:style>
  <w:style w:type="character" w:customStyle="1" w:styleId="143">
    <w:name w:val="TH Char"/>
    <w:link w:val="68"/>
    <w:qFormat/>
    <w:locked/>
    <w:uiPriority w:val="0"/>
    <w:rPr>
      <w:rFonts w:ascii="Arial" w:hAnsi="Arial" w:eastAsia="Times New Roman"/>
      <w:b/>
      <w:lang w:val="en-GB" w:eastAsia="zh-CN"/>
    </w:rPr>
  </w:style>
  <w:style w:type="character" w:customStyle="1" w:styleId="144">
    <w:name w:val="TAL Car"/>
    <w:link w:val="66"/>
    <w:qFormat/>
    <w:locked/>
    <w:uiPriority w:val="0"/>
    <w:rPr>
      <w:rFonts w:ascii="Arial" w:hAnsi="Arial" w:eastAsia="Times New Roman"/>
      <w:sz w:val="18"/>
      <w:lang w:val="en-GB" w:eastAsia="zh-CN"/>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Char"/>
    <w:link w:val="9"/>
    <w:qFormat/>
    <w:uiPriority w:val="0"/>
    <w:rPr>
      <w:rFonts w:ascii="Arial" w:hAnsi="Arial" w:eastAsia="Times New Roman"/>
      <w:lang w:val="en-GB" w:eastAsia="zh-CN"/>
    </w:rPr>
  </w:style>
  <w:style w:type="character" w:customStyle="1" w:styleId="147">
    <w:name w:val="标题 6 Char"/>
    <w:basedOn w:val="53"/>
    <w:link w:val="7"/>
    <w:qFormat/>
    <w:uiPriority w:val="0"/>
    <w:rPr>
      <w:rFonts w:ascii="Arial" w:hAnsi="Arial" w:eastAsia="Times New Roman"/>
      <w:lang w:val="en-GB"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4</Pages>
  <Words>839</Words>
  <Characters>4784</Characters>
  <Lines>39</Lines>
  <Paragraphs>11</Paragraphs>
  <TotalTime>19</TotalTime>
  <ScaleCrop>false</ScaleCrop>
  <LinksUpToDate>false</LinksUpToDate>
  <CharactersWithSpaces>5612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2018-12-03T17:23:00Z</dcterms:created>
  <dc:creator>Joern Krause</dc:creator>
  <cp:lastModifiedBy>CMCC-Luyang Zhao</cp:lastModifiedBy>
  <dcterms:modified xsi:type="dcterms:W3CDTF">2023-06-02T07:08:18Z</dcterms:modified>
  <dc:title>Status Report to TSG</dc:title>
  <cp:revision>429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195E7799AEAD49F19248D0F51282944A</vt:lpwstr>
  </property>
</Properties>
</file>